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D555" w14:textId="106D7567" w:rsidR="007D680E" w:rsidRDefault="007D680E">
      <w:pPr>
        <w:pStyle w:val="Textoindependiente"/>
        <w:rPr>
          <w:i/>
          <w:color w:val="231F20"/>
          <w:w w:val="105"/>
          <w:sz w:val="30"/>
          <w:szCs w:val="22"/>
          <w:lang w:val="es-ES"/>
        </w:rPr>
      </w:pPr>
    </w:p>
    <w:p w14:paraId="523D9F19" w14:textId="77777777" w:rsidR="00E07D4D" w:rsidRPr="006E5133" w:rsidRDefault="00E07D4D">
      <w:pPr>
        <w:pStyle w:val="Textoindependiente"/>
        <w:rPr>
          <w:rFonts w:ascii="Cambria"/>
          <w:lang w:val="es-ES"/>
        </w:rPr>
      </w:pPr>
    </w:p>
    <w:p w14:paraId="2F1FD556" w14:textId="77777777" w:rsidR="007D680E" w:rsidRPr="006E5133" w:rsidRDefault="007D680E">
      <w:pPr>
        <w:pStyle w:val="Textoindependiente"/>
        <w:rPr>
          <w:rFonts w:ascii="Cambria"/>
          <w:lang w:val="es-ES"/>
        </w:rPr>
      </w:pPr>
    </w:p>
    <w:p w14:paraId="2F1FD557" w14:textId="77777777" w:rsidR="007D680E" w:rsidRPr="006E5133" w:rsidRDefault="007D680E">
      <w:pPr>
        <w:pStyle w:val="Textoindependiente"/>
        <w:rPr>
          <w:rFonts w:ascii="Cambria"/>
          <w:lang w:val="es-ES"/>
        </w:rPr>
      </w:pPr>
    </w:p>
    <w:p w14:paraId="2F1FD558" w14:textId="77777777" w:rsidR="007D680E" w:rsidRPr="006E5133" w:rsidRDefault="007D680E">
      <w:pPr>
        <w:pStyle w:val="Textoindependiente"/>
        <w:rPr>
          <w:rFonts w:ascii="Cambria"/>
          <w:lang w:val="es-ES"/>
        </w:rPr>
      </w:pPr>
    </w:p>
    <w:p w14:paraId="2F1FD559" w14:textId="77777777" w:rsidR="007D680E" w:rsidRPr="006E5133" w:rsidRDefault="007D680E">
      <w:pPr>
        <w:pStyle w:val="Textoindependiente"/>
        <w:rPr>
          <w:rFonts w:ascii="Cambria"/>
          <w:lang w:val="es-ES"/>
        </w:rPr>
      </w:pPr>
    </w:p>
    <w:p w14:paraId="2F1FD55A" w14:textId="77777777" w:rsidR="007D680E" w:rsidRPr="006E5133" w:rsidRDefault="007D680E">
      <w:pPr>
        <w:pStyle w:val="Textoindependiente"/>
        <w:rPr>
          <w:rFonts w:ascii="Cambria"/>
          <w:lang w:val="es-ES"/>
        </w:rPr>
      </w:pPr>
    </w:p>
    <w:p w14:paraId="2F1FD55B" w14:textId="77777777" w:rsidR="007D680E" w:rsidRPr="006E5133" w:rsidRDefault="007D680E">
      <w:pPr>
        <w:pStyle w:val="Textoindependiente"/>
        <w:rPr>
          <w:rFonts w:ascii="Cambria"/>
          <w:lang w:val="es-ES"/>
        </w:rPr>
      </w:pPr>
    </w:p>
    <w:p w14:paraId="2F1FD55C" w14:textId="5061DEA8" w:rsidR="007D680E" w:rsidRDefault="007D680E">
      <w:pPr>
        <w:pStyle w:val="Textoindependiente"/>
        <w:spacing w:before="10"/>
        <w:rPr>
          <w:rFonts w:ascii="Cambria"/>
          <w:sz w:val="28"/>
          <w:lang w:val="es-ES"/>
        </w:rPr>
      </w:pPr>
    </w:p>
    <w:p w14:paraId="55A7C0E0" w14:textId="77777777" w:rsidR="005D4215" w:rsidRDefault="005D4215">
      <w:pPr>
        <w:pStyle w:val="Textoindependiente"/>
        <w:spacing w:before="10"/>
        <w:rPr>
          <w:rFonts w:ascii="Cambria"/>
          <w:sz w:val="28"/>
          <w:lang w:val="es-ES"/>
        </w:rPr>
      </w:pPr>
    </w:p>
    <w:p w14:paraId="268B47DA" w14:textId="77777777" w:rsidR="00E07D4D" w:rsidRPr="006E5133" w:rsidRDefault="00E07D4D">
      <w:pPr>
        <w:pStyle w:val="Textoindependiente"/>
        <w:spacing w:before="10"/>
        <w:rPr>
          <w:rFonts w:ascii="Cambria"/>
          <w:sz w:val="28"/>
          <w:lang w:val="es-ES"/>
        </w:rPr>
      </w:pPr>
    </w:p>
    <w:p w14:paraId="2F1FD55D" w14:textId="77777777" w:rsidR="007D680E" w:rsidRPr="006E5133" w:rsidRDefault="00D34634">
      <w:pPr>
        <w:spacing w:before="13"/>
        <w:ind w:left="6072"/>
        <w:rPr>
          <w:rFonts w:ascii="Lucida Sans"/>
          <w:sz w:val="88"/>
          <w:lang w:val="es-ES"/>
        </w:rPr>
      </w:pPr>
      <w:r w:rsidRPr="006E5133">
        <w:rPr>
          <w:rFonts w:ascii="Lucida Sans"/>
          <w:color w:val="D1D3D4"/>
          <w:w w:val="85"/>
          <w:sz w:val="88"/>
          <w:lang w:val="es-ES"/>
        </w:rPr>
        <w:t>Perspectiv</w:t>
      </w:r>
      <w:r w:rsidR="00D969CE" w:rsidRPr="006E5133">
        <w:rPr>
          <w:rFonts w:ascii="Lucida Sans"/>
          <w:color w:val="D1D3D4"/>
          <w:w w:val="85"/>
          <w:sz w:val="88"/>
          <w:lang w:val="es-ES"/>
        </w:rPr>
        <w:t>a</w:t>
      </w:r>
    </w:p>
    <w:p w14:paraId="2F1FD55E" w14:textId="77777777" w:rsidR="007D680E" w:rsidRPr="006E5133" w:rsidRDefault="007D680E">
      <w:pPr>
        <w:pStyle w:val="Textoindependiente"/>
        <w:rPr>
          <w:rFonts w:ascii="Lucida Sans"/>
          <w:lang w:val="es-ES"/>
        </w:rPr>
      </w:pPr>
    </w:p>
    <w:p w14:paraId="2F1FD55F" w14:textId="77777777" w:rsidR="007D680E" w:rsidRPr="006E5133" w:rsidRDefault="007D680E">
      <w:pPr>
        <w:pStyle w:val="Textoindependiente"/>
        <w:spacing w:before="6"/>
        <w:rPr>
          <w:rFonts w:ascii="Lucida Sans"/>
          <w:sz w:val="24"/>
          <w:lang w:val="es-ES"/>
        </w:rPr>
      </w:pPr>
    </w:p>
    <w:p w14:paraId="2F1FD560" w14:textId="07E6B97F" w:rsidR="007D680E" w:rsidRPr="006E5133" w:rsidRDefault="00D969CE">
      <w:pPr>
        <w:spacing w:before="68"/>
        <w:ind w:left="720"/>
        <w:rPr>
          <w:rFonts w:ascii="Calibri"/>
          <w:b/>
          <w:sz w:val="36"/>
          <w:lang w:val="es-ES"/>
        </w:rPr>
      </w:pPr>
      <w:r w:rsidRPr="006E5133">
        <w:rPr>
          <w:rFonts w:ascii="Calibri"/>
          <w:b/>
          <w:color w:val="231F20"/>
          <w:sz w:val="36"/>
          <w:lang w:val="es-ES"/>
        </w:rPr>
        <w:t>Evaluaci</w:t>
      </w:r>
      <w:r w:rsidRPr="006E5133">
        <w:rPr>
          <w:rFonts w:ascii="Calibri"/>
          <w:b/>
          <w:color w:val="231F20"/>
          <w:sz w:val="36"/>
          <w:lang w:val="es-ES"/>
        </w:rPr>
        <w:t>ó</w:t>
      </w:r>
      <w:r w:rsidRPr="006E5133">
        <w:rPr>
          <w:rFonts w:ascii="Calibri"/>
          <w:b/>
          <w:color w:val="231F20"/>
          <w:sz w:val="36"/>
          <w:lang w:val="es-ES"/>
        </w:rPr>
        <w:t>n de medicamentos durante la pandemia de Covid-19</w:t>
      </w:r>
    </w:p>
    <w:p w14:paraId="2F1FD561" w14:textId="42329245" w:rsidR="007D680E" w:rsidRPr="00E07D4D" w:rsidRDefault="00D34634">
      <w:pPr>
        <w:pStyle w:val="Textoindependiente"/>
        <w:spacing w:before="70"/>
        <w:ind w:left="720"/>
        <w:rPr>
          <w:rFonts w:ascii="Lucida Sans"/>
        </w:rPr>
      </w:pPr>
      <w:r w:rsidRPr="00E07D4D">
        <w:rPr>
          <w:rFonts w:ascii="Lucida Sans"/>
          <w:color w:val="231F20"/>
        </w:rPr>
        <w:t xml:space="preserve">Benjamin N. Rome, M.D., </w:t>
      </w:r>
      <w:r w:rsidR="00D969CE" w:rsidRPr="00E07D4D">
        <w:rPr>
          <w:rFonts w:ascii="Lucida Sans"/>
          <w:color w:val="231F20"/>
        </w:rPr>
        <w:t>y</w:t>
      </w:r>
      <w:r w:rsidRPr="00E07D4D">
        <w:rPr>
          <w:rFonts w:ascii="Lucida Sans"/>
          <w:color w:val="231F20"/>
        </w:rPr>
        <w:t xml:space="preserve"> Jerry Avorn, M.D.</w:t>
      </w:r>
    </w:p>
    <w:p w14:paraId="2F1FD562" w14:textId="77777777" w:rsidR="007D680E" w:rsidRPr="00E07D4D" w:rsidRDefault="007D680E">
      <w:pPr>
        <w:rPr>
          <w:rFonts w:ascii="Lucida Sans"/>
        </w:rPr>
        <w:sectPr w:rsidR="007D680E" w:rsidRPr="00E07D4D">
          <w:footerReference w:type="default" r:id="rId7"/>
          <w:type w:val="continuous"/>
          <w:pgSz w:w="11340" w:h="15120"/>
          <w:pgMar w:top="660" w:right="460" w:bottom="1140" w:left="520" w:header="720" w:footer="946" w:gutter="0"/>
          <w:cols w:space="720"/>
        </w:sectPr>
      </w:pPr>
    </w:p>
    <w:p w14:paraId="2F1FD563" w14:textId="2D096D64" w:rsidR="007D680E" w:rsidRPr="006E5133" w:rsidRDefault="00C64096" w:rsidP="00682B4B">
      <w:pPr>
        <w:pStyle w:val="Ttulo1"/>
        <w:spacing w:before="121" w:line="228" w:lineRule="auto"/>
        <w:ind w:left="851" w:right="39"/>
        <w:rPr>
          <w:sz w:val="24"/>
          <w:szCs w:val="24"/>
          <w:lang w:val="es-ES"/>
        </w:rPr>
      </w:pPr>
      <w:r w:rsidRPr="006E5133">
        <w:rPr>
          <w:color w:val="939598"/>
          <w:spacing w:val="-5"/>
          <w:sz w:val="24"/>
          <w:szCs w:val="24"/>
          <w:lang w:val="es-ES"/>
        </w:rPr>
        <w:t>La búsqueda de un tratamiento para Covid-19 está poniendo a prueba la capacidad de nuestro país para desarrollar, probar e implementar medicamentos rápidamente, presentando oportunidades y desafíos para nuestro aparato de evaluación de medicamentos.</w:t>
      </w:r>
    </w:p>
    <w:p w14:paraId="2F1FD564" w14:textId="5DB665A6" w:rsidR="007D680E" w:rsidRPr="006E5133" w:rsidRDefault="007D680E">
      <w:pPr>
        <w:spacing w:line="326" w:lineRule="exact"/>
        <w:ind w:left="1514"/>
        <w:jc w:val="both"/>
        <w:rPr>
          <w:sz w:val="27"/>
          <w:lang w:val="es-ES"/>
        </w:rPr>
      </w:pPr>
    </w:p>
    <w:p w14:paraId="77F85CCD" w14:textId="4D42FC98" w:rsidR="007D680E" w:rsidRPr="006E5133" w:rsidRDefault="00D34634" w:rsidP="00682B4B">
      <w:pPr>
        <w:pStyle w:val="Textoindependiente"/>
        <w:spacing w:before="181" w:line="232" w:lineRule="auto"/>
        <w:ind w:left="258" w:right="162"/>
        <w:jc w:val="both"/>
        <w:rPr>
          <w:color w:val="231F20"/>
          <w:w w:val="95"/>
          <w:sz w:val="18"/>
          <w:szCs w:val="18"/>
          <w:lang w:val="es-ES"/>
        </w:rPr>
      </w:pPr>
      <w:r w:rsidRPr="006E5133">
        <w:rPr>
          <w:lang w:val="es-ES"/>
        </w:rPr>
        <w:br w:type="column"/>
      </w:r>
      <w:r w:rsidR="003F3A1A" w:rsidRPr="006E5133">
        <w:rPr>
          <w:color w:val="231F20"/>
          <w:w w:val="95"/>
          <w:sz w:val="18"/>
          <w:szCs w:val="18"/>
          <w:lang w:val="es-ES"/>
        </w:rPr>
        <w:t>Mientras tanto, se han planteado serias preocupaciones sobre la idoneidad de los estudios disponibles de estos medicamentos.</w:t>
      </w:r>
      <w:r w:rsidR="00682B4B" w:rsidRPr="006E5133">
        <w:rPr>
          <w:color w:val="231F20"/>
          <w:w w:val="95"/>
          <w:sz w:val="18"/>
          <w:szCs w:val="18"/>
          <w:vertAlign w:val="superscript"/>
          <w:lang w:val="es-ES"/>
        </w:rPr>
        <w:t>1</w:t>
      </w:r>
    </w:p>
    <w:p w14:paraId="2F1FD566" w14:textId="75F2A031" w:rsidR="003F3A1A" w:rsidRPr="006E5133" w:rsidRDefault="003F3A1A" w:rsidP="003F3A1A">
      <w:pPr>
        <w:spacing w:line="232" w:lineRule="auto"/>
        <w:ind w:left="284"/>
        <w:jc w:val="both"/>
        <w:rPr>
          <w:color w:val="231F20"/>
          <w:w w:val="95"/>
          <w:sz w:val="18"/>
          <w:szCs w:val="18"/>
          <w:lang w:val="es-ES"/>
        </w:rPr>
        <w:sectPr w:rsidR="003F3A1A" w:rsidRPr="006E5133">
          <w:type w:val="continuous"/>
          <w:pgSz w:w="11340" w:h="15120"/>
          <w:pgMar w:top="660" w:right="460" w:bottom="1140" w:left="520" w:header="720" w:footer="720" w:gutter="0"/>
          <w:cols w:num="2" w:space="720" w:equalWidth="0">
            <w:col w:w="7164" w:space="40"/>
            <w:col w:w="3156"/>
          </w:cols>
        </w:sectPr>
      </w:pPr>
    </w:p>
    <w:p w14:paraId="2F1FD568" w14:textId="42A3AB40" w:rsidR="007D680E" w:rsidRPr="006E5133" w:rsidRDefault="002B4214" w:rsidP="00FA556A">
      <w:pPr>
        <w:pStyle w:val="Textoindependiente"/>
        <w:spacing w:line="232" w:lineRule="exact"/>
        <w:ind w:left="851"/>
        <w:jc w:val="both"/>
        <w:rPr>
          <w:sz w:val="18"/>
          <w:szCs w:val="18"/>
          <w:lang w:val="es-ES"/>
        </w:rPr>
      </w:pPr>
      <w:r w:rsidRPr="006E5133">
        <w:rPr>
          <w:color w:val="231F20"/>
          <w:w w:val="95"/>
          <w:sz w:val="18"/>
          <w:szCs w:val="18"/>
          <w:lang w:val="es-ES"/>
        </w:rPr>
        <w:t>Varios aspectos de la respuesta de los Estados Unidos plantean serias preocupaciones, destacando cómo los procesos para evaluar y aprobar medicamentos pueden salir mal durante una crisis de salud pública.</w:t>
      </w:r>
    </w:p>
    <w:p w14:paraId="2F1FD569" w14:textId="155B89F4" w:rsidR="007D680E" w:rsidRPr="006E5133" w:rsidRDefault="00D8148E" w:rsidP="00E93DEC">
      <w:pPr>
        <w:pStyle w:val="Textoindependiente"/>
        <w:spacing w:line="232" w:lineRule="auto"/>
        <w:ind w:left="851" w:firstLine="283"/>
        <w:jc w:val="both"/>
        <w:rPr>
          <w:color w:val="231F20"/>
          <w:w w:val="95"/>
          <w:sz w:val="18"/>
          <w:szCs w:val="18"/>
          <w:lang w:val="es-ES"/>
        </w:rPr>
      </w:pPr>
      <w:r w:rsidRPr="006E5133">
        <w:rPr>
          <w:color w:val="231F20"/>
          <w:w w:val="95"/>
          <w:sz w:val="18"/>
          <w:szCs w:val="18"/>
          <w:lang w:val="es-ES"/>
        </w:rPr>
        <w:t xml:space="preserve">La pandemia mundial ha presionado a los médicos y a la Administración de </w:t>
      </w:r>
      <w:r w:rsidR="006E5133" w:rsidRPr="006E5133">
        <w:rPr>
          <w:color w:val="231F20"/>
          <w:w w:val="95"/>
          <w:sz w:val="18"/>
          <w:szCs w:val="18"/>
          <w:lang w:val="es-ES"/>
        </w:rPr>
        <w:t>Medicamento</w:t>
      </w:r>
      <w:r w:rsidRPr="006E5133">
        <w:rPr>
          <w:color w:val="231F20"/>
          <w:w w:val="95"/>
          <w:sz w:val="18"/>
          <w:szCs w:val="18"/>
          <w:lang w:val="es-ES"/>
        </w:rPr>
        <w:t xml:space="preserve">s y Alimentos (FDA) para que actúen rápidamente para que los medicamentos estén disponibles para los pacientes. </w:t>
      </w:r>
      <w:r w:rsidR="00EF7976" w:rsidRPr="006E5133">
        <w:rPr>
          <w:color w:val="231F20"/>
          <w:w w:val="95"/>
          <w:sz w:val="18"/>
          <w:szCs w:val="18"/>
          <w:lang w:val="es-ES"/>
        </w:rPr>
        <w:t xml:space="preserve">Cuando la evidencia anecdótica y de observación muy limitada planteó la posibilidad de que </w:t>
      </w:r>
      <w:r w:rsidR="006E5133" w:rsidRPr="006E5133">
        <w:rPr>
          <w:color w:val="231F20"/>
          <w:w w:val="95"/>
          <w:sz w:val="18"/>
          <w:szCs w:val="18"/>
          <w:lang w:val="es-ES"/>
        </w:rPr>
        <w:t>los medicamentos</w:t>
      </w:r>
      <w:r w:rsidR="00EF7976" w:rsidRPr="006E5133">
        <w:rPr>
          <w:color w:val="231F20"/>
          <w:w w:val="95"/>
          <w:sz w:val="18"/>
          <w:szCs w:val="18"/>
          <w:lang w:val="es-ES"/>
        </w:rPr>
        <w:t xml:space="preserve"> antipalúdic</w:t>
      </w:r>
      <w:r w:rsidR="006E5133" w:rsidRPr="006E5133">
        <w:rPr>
          <w:color w:val="231F20"/>
          <w:w w:val="95"/>
          <w:sz w:val="18"/>
          <w:szCs w:val="18"/>
          <w:lang w:val="es-ES"/>
        </w:rPr>
        <w:t>o</w:t>
      </w:r>
      <w:r w:rsidR="00EF7976" w:rsidRPr="006E5133">
        <w:rPr>
          <w:color w:val="231F20"/>
          <w:w w:val="95"/>
          <w:sz w:val="18"/>
          <w:szCs w:val="18"/>
          <w:lang w:val="es-ES"/>
        </w:rPr>
        <w:t xml:space="preserve">s cloroquina e hidroxicloroquina puedan tener actividad contra el SARS-CoV-2, el presidente Donald Trump rápidamente comenzó a celebrar la promesa de su uso generalizado, afirmando en la televisión nacional que tenía una "corazonada" "Que dicha terapia fue efectiva y que </w:t>
      </w:r>
      <w:r w:rsidR="006E5133" w:rsidRPr="006E5133">
        <w:rPr>
          <w:color w:val="231F20"/>
          <w:w w:val="95"/>
          <w:sz w:val="18"/>
          <w:szCs w:val="18"/>
          <w:lang w:val="es-ES"/>
        </w:rPr>
        <w:t>los medicamentos</w:t>
      </w:r>
      <w:r w:rsidR="00EF7976" w:rsidRPr="006E5133">
        <w:rPr>
          <w:color w:val="231F20"/>
          <w:w w:val="95"/>
          <w:sz w:val="18"/>
          <w:szCs w:val="18"/>
          <w:lang w:val="es-ES"/>
        </w:rPr>
        <w:t xml:space="preserve"> podrían ser un" cambio de juego "para abordar la pandemia. Más recientemente, alentó</w:t>
      </w:r>
      <w:r w:rsidR="0091631B" w:rsidRPr="006E5133">
        <w:rPr>
          <w:color w:val="231F20"/>
          <w:w w:val="95"/>
          <w:sz w:val="18"/>
          <w:szCs w:val="18"/>
          <w:lang w:val="es-ES"/>
        </w:rPr>
        <w:t xml:space="preserve"> abiertamente a</w:t>
      </w:r>
      <w:r w:rsidR="003F3A1A" w:rsidRPr="006E5133">
        <w:rPr>
          <w:color w:val="231F20"/>
          <w:w w:val="95"/>
          <w:sz w:val="18"/>
          <w:szCs w:val="18"/>
          <w:lang w:val="es-ES"/>
        </w:rPr>
        <w:t xml:space="preserve"> los pacientes a tomar los medicamentos y sugirió que podría hacerlo él mismo, a pesar de haber dado negativo para el virus.</w:t>
      </w:r>
    </w:p>
    <w:p w14:paraId="2F1FD56C" w14:textId="21E38BA1" w:rsidR="007D680E" w:rsidRPr="006E5133" w:rsidRDefault="00D34634" w:rsidP="00E93DEC">
      <w:pPr>
        <w:pStyle w:val="Textoindependiente"/>
        <w:spacing w:line="232" w:lineRule="auto"/>
        <w:ind w:left="199" w:firstLine="227"/>
        <w:jc w:val="both"/>
        <w:rPr>
          <w:color w:val="231F20"/>
          <w:w w:val="95"/>
          <w:sz w:val="18"/>
          <w:szCs w:val="18"/>
          <w:lang w:val="es-ES"/>
        </w:rPr>
      </w:pPr>
      <w:r w:rsidRPr="006E5133">
        <w:rPr>
          <w:sz w:val="18"/>
          <w:szCs w:val="18"/>
          <w:lang w:val="es-ES"/>
        </w:rPr>
        <w:br w:type="column"/>
      </w:r>
      <w:r w:rsidR="00CB7682" w:rsidRPr="006E5133">
        <w:rPr>
          <w:color w:val="231F20"/>
          <w:w w:val="95"/>
          <w:sz w:val="18"/>
          <w:szCs w:val="18"/>
          <w:lang w:val="es-ES"/>
        </w:rPr>
        <w:t>Después de las afirmaciones iniciales de Trump, la FDA, aún enfrentando críticas de que sus retrasos en la aprobación de los kits de prueba para el virus obstaculizaron los esfuerzos de prevención, emitió una Autorización de Uso de Emergencia (EUA) el 28 de marzo que permitió el uso de los medicamentos para tratar a pacientes con Covid-19.</w:t>
      </w:r>
      <w:r w:rsidRPr="006E5133">
        <w:rPr>
          <w:color w:val="231F20"/>
          <w:w w:val="95"/>
          <w:sz w:val="18"/>
          <w:szCs w:val="18"/>
          <w:lang w:val="es-ES"/>
        </w:rPr>
        <w:t xml:space="preserve"> </w:t>
      </w:r>
      <w:r w:rsidR="00FA556A" w:rsidRPr="006E5133">
        <w:rPr>
          <w:color w:val="231F20"/>
          <w:w w:val="95"/>
          <w:sz w:val="18"/>
          <w:szCs w:val="18"/>
          <w:lang w:val="es-ES"/>
        </w:rPr>
        <w:t>Si bien el alcance de la EUA se limitó a permitir la distribución de cloroquina e hidroxicloroquina de un arsenal federal, Trump y otros informaron de manera incorrecta que su emisión significaba que la FDA había aprobado los medicamentos para esta indicación.</w:t>
      </w:r>
      <w:r w:rsidRPr="006E5133">
        <w:rPr>
          <w:color w:val="231F20"/>
          <w:w w:val="95"/>
          <w:sz w:val="18"/>
          <w:szCs w:val="18"/>
          <w:lang w:val="es-ES"/>
        </w:rPr>
        <w:t xml:space="preserve"> </w:t>
      </w:r>
      <w:r w:rsidR="00FA556A" w:rsidRPr="006E5133">
        <w:rPr>
          <w:color w:val="231F20"/>
          <w:w w:val="95"/>
          <w:sz w:val="18"/>
          <w:szCs w:val="18"/>
          <w:lang w:val="es-ES"/>
        </w:rPr>
        <w:t>Los Centros para el Control y la Prevención de Enfermedades (CDC) llegaron a publicar dosis de cloroquina e hidroxicloroquina para su uso en pacientes con Covid-19,</w:t>
      </w:r>
      <w:r w:rsidR="003F3A1A" w:rsidRPr="006E5133">
        <w:rPr>
          <w:color w:val="231F20"/>
          <w:w w:val="95"/>
          <w:sz w:val="18"/>
          <w:szCs w:val="18"/>
          <w:lang w:val="es-ES"/>
        </w:rPr>
        <w:t xml:space="preserve"> aunque luego los eliminó de su sitio web.</w:t>
      </w:r>
    </w:p>
    <w:p w14:paraId="75C4322D" w14:textId="77777777" w:rsidR="003F3A1A" w:rsidRPr="006E5133" w:rsidRDefault="003F3A1A" w:rsidP="00702E27">
      <w:pPr>
        <w:pStyle w:val="Textoindependiente"/>
        <w:spacing w:line="232" w:lineRule="auto"/>
        <w:ind w:left="199" w:firstLine="240"/>
        <w:jc w:val="both"/>
        <w:rPr>
          <w:color w:val="231F20"/>
          <w:w w:val="95"/>
          <w:sz w:val="18"/>
          <w:szCs w:val="18"/>
          <w:lang w:val="es-ES"/>
        </w:rPr>
      </w:pPr>
    </w:p>
    <w:p w14:paraId="2F1FD56D" w14:textId="22713129" w:rsidR="007D680E" w:rsidRPr="006E5133" w:rsidRDefault="009376DE" w:rsidP="00E93DEC">
      <w:pPr>
        <w:pStyle w:val="Textoindependiente"/>
        <w:spacing w:line="232" w:lineRule="auto"/>
        <w:ind w:left="142" w:right="122" w:firstLine="284"/>
        <w:jc w:val="both"/>
        <w:rPr>
          <w:lang w:val="es-ES"/>
        </w:rPr>
      </w:pPr>
      <w:r w:rsidRPr="006E5133">
        <w:rPr>
          <w:color w:val="231F20"/>
          <w:w w:val="95"/>
          <w:sz w:val="18"/>
          <w:szCs w:val="18"/>
          <w:lang w:val="es-ES"/>
        </w:rPr>
        <w:t>Estos desarrollos representan amenazas fundamentales para el proceso de evaluación de medicamentos de EE. UU</w:t>
      </w:r>
      <w:r w:rsidR="00D34634" w:rsidRPr="006E5133">
        <w:rPr>
          <w:color w:val="231F20"/>
          <w:w w:val="95"/>
          <w:sz w:val="18"/>
          <w:szCs w:val="18"/>
          <w:lang w:val="es-ES"/>
        </w:rPr>
        <w:t xml:space="preserve">. </w:t>
      </w:r>
      <w:r w:rsidRPr="006E5133">
        <w:rPr>
          <w:color w:val="231F20"/>
          <w:w w:val="95"/>
          <w:sz w:val="18"/>
          <w:szCs w:val="18"/>
          <w:lang w:val="es-ES"/>
        </w:rPr>
        <w:t>Abogar por que la FDA apruebe rápidamente los medicamentos sin datos de ensayos aleatorios va en contra de la idea de un medicamento basado en evidencia y corre el riesgo de socavar aún más la comprensión y la fe del público en el proceso de revisión de medicamentos, que requiere "evidencia sustancial" de seguridad y eficacia basada en ensayos adecuados y bien controlados antes de que se pueda comercializar un medicamento.</w:t>
      </w:r>
      <w:r w:rsidR="00D34634" w:rsidRPr="006E5133">
        <w:rPr>
          <w:color w:val="231F20"/>
          <w:w w:val="95"/>
          <w:sz w:val="18"/>
          <w:szCs w:val="18"/>
          <w:lang w:val="es-ES"/>
        </w:rPr>
        <w:t xml:space="preserve"> </w:t>
      </w:r>
      <w:r w:rsidRPr="006E5133">
        <w:rPr>
          <w:color w:val="231F20"/>
          <w:w w:val="95"/>
          <w:sz w:val="18"/>
          <w:szCs w:val="18"/>
          <w:lang w:val="es-ES"/>
        </w:rPr>
        <w:t>Aunque esta emergencia sin precedentes proporciona una razón convincente para que la FDA actúe de la manera más eficiente posible, la agencia y la comunidad médica aún pueden mantener los más altos estándares científicos mientras actúan de manera expedita.</w:t>
      </w:r>
    </w:p>
    <w:p w14:paraId="2F1FD56E" w14:textId="77777777" w:rsidR="007D680E" w:rsidRPr="006E5133" w:rsidRDefault="007D680E">
      <w:pPr>
        <w:spacing w:line="232" w:lineRule="auto"/>
        <w:jc w:val="both"/>
        <w:rPr>
          <w:lang w:val="es-ES"/>
        </w:rPr>
        <w:sectPr w:rsidR="007D680E" w:rsidRPr="006E5133">
          <w:type w:val="continuous"/>
          <w:pgSz w:w="11340" w:h="15120"/>
          <w:pgMar w:top="660" w:right="460" w:bottom="1140" w:left="520" w:header="720" w:footer="720" w:gutter="0"/>
          <w:cols w:num="3" w:space="720" w:equalWidth="0">
            <w:col w:w="4249" w:space="40"/>
            <w:col w:w="2933" w:space="39"/>
            <w:col w:w="3099"/>
          </w:cols>
        </w:sectPr>
      </w:pPr>
    </w:p>
    <w:p w14:paraId="2F1FD56F" w14:textId="6462F67B" w:rsidR="007D680E" w:rsidRPr="006E5133" w:rsidRDefault="00D34634">
      <w:pPr>
        <w:spacing w:before="104"/>
        <w:ind w:left="110"/>
        <w:rPr>
          <w:rFonts w:ascii="Calibri"/>
          <w:sz w:val="18"/>
          <w:lang w:val="es-ES"/>
        </w:rPr>
      </w:pPr>
      <w:r w:rsidRPr="006E5133">
        <w:rPr>
          <w:rFonts w:ascii="Calibri"/>
          <w:color w:val="ED1C24"/>
          <w:w w:val="110"/>
          <w:sz w:val="18"/>
          <w:lang w:val="es-ES"/>
        </w:rPr>
        <w:lastRenderedPageBreak/>
        <w:t>PERSPECTIV</w:t>
      </w:r>
      <w:r w:rsidR="00093E12" w:rsidRPr="006E5133">
        <w:rPr>
          <w:rFonts w:ascii="Calibri"/>
          <w:color w:val="ED1C24"/>
          <w:w w:val="110"/>
          <w:sz w:val="18"/>
          <w:lang w:val="es-ES"/>
        </w:rPr>
        <w:t>A</w:t>
      </w:r>
      <w:r w:rsidRPr="006E5133">
        <w:rPr>
          <w:rFonts w:ascii="Calibri"/>
          <w:color w:val="ED1C24"/>
          <w:sz w:val="18"/>
          <w:lang w:val="es-ES"/>
        </w:rPr>
        <w:t xml:space="preserve"> </w:t>
      </w:r>
    </w:p>
    <w:p w14:paraId="2F1FD570" w14:textId="020523BD" w:rsidR="007D680E" w:rsidRPr="006E5133" w:rsidRDefault="00D34634" w:rsidP="009376DE">
      <w:pPr>
        <w:spacing w:before="59"/>
        <w:ind w:left="-1134"/>
        <w:rPr>
          <w:rFonts w:ascii="Calibri"/>
          <w:sz w:val="17"/>
          <w:lang w:val="es-ES"/>
        </w:rPr>
      </w:pPr>
      <w:r w:rsidRPr="006E5133">
        <w:rPr>
          <w:lang w:val="es-ES"/>
        </w:rPr>
        <w:br w:type="column"/>
      </w:r>
      <w:r w:rsidR="009376DE" w:rsidRPr="006E5133">
        <w:rPr>
          <w:color w:val="231F20"/>
          <w:spacing w:val="-3"/>
          <w:w w:val="95"/>
          <w:sz w:val="20"/>
          <w:szCs w:val="20"/>
          <w:lang w:val="es-ES"/>
        </w:rPr>
        <w:t>Evaluación de medicamentos durante la pandemia de Covid-19</w:t>
      </w:r>
    </w:p>
    <w:p w14:paraId="2F1FD571" w14:textId="77777777" w:rsidR="007D680E" w:rsidRPr="006E5133" w:rsidRDefault="007D680E">
      <w:pPr>
        <w:rPr>
          <w:rFonts w:ascii="Calibri"/>
          <w:sz w:val="17"/>
          <w:lang w:val="es-ES"/>
        </w:rPr>
        <w:sectPr w:rsidR="007D680E" w:rsidRPr="006E5133">
          <w:pgSz w:w="11340" w:h="15120"/>
          <w:pgMar w:top="340" w:right="460" w:bottom="780" w:left="520" w:header="0" w:footer="583" w:gutter="0"/>
          <w:cols w:num="2" w:space="720" w:equalWidth="0">
            <w:col w:w="1406" w:space="4150"/>
            <w:col w:w="4804"/>
          </w:cols>
        </w:sectPr>
      </w:pPr>
    </w:p>
    <w:p w14:paraId="2F1FD572" w14:textId="77777777" w:rsidR="007D680E" w:rsidRPr="006E5133" w:rsidRDefault="007D680E">
      <w:pPr>
        <w:pStyle w:val="Textoindependiente"/>
        <w:spacing w:before="12"/>
        <w:rPr>
          <w:rFonts w:ascii="Calibri"/>
          <w:sz w:val="23"/>
          <w:lang w:val="es-ES"/>
        </w:rPr>
      </w:pPr>
    </w:p>
    <w:p w14:paraId="2F1FD573" w14:textId="77777777" w:rsidR="007D680E" w:rsidRPr="006E5133" w:rsidRDefault="007D680E">
      <w:pPr>
        <w:rPr>
          <w:rFonts w:ascii="Calibri"/>
          <w:sz w:val="23"/>
          <w:lang w:val="es-ES"/>
        </w:rPr>
        <w:sectPr w:rsidR="007D680E" w:rsidRPr="006E5133">
          <w:type w:val="continuous"/>
          <w:pgSz w:w="11340" w:h="15120"/>
          <w:pgMar w:top="660" w:right="460" w:bottom="1140" w:left="520" w:header="720" w:footer="720" w:gutter="0"/>
          <w:cols w:space="720"/>
        </w:sectPr>
      </w:pPr>
    </w:p>
    <w:p w14:paraId="2F1FD575" w14:textId="472B26BC" w:rsidR="007D680E" w:rsidRPr="006E5133" w:rsidRDefault="00093E12" w:rsidP="00093E12">
      <w:pPr>
        <w:pStyle w:val="Textoindependiente"/>
        <w:spacing w:before="97" w:line="232" w:lineRule="auto"/>
        <w:ind w:left="900" w:firstLine="240"/>
        <w:jc w:val="both"/>
        <w:rPr>
          <w:color w:val="231F20"/>
          <w:w w:val="95"/>
          <w:sz w:val="18"/>
          <w:szCs w:val="18"/>
          <w:lang w:val="es-ES"/>
        </w:rPr>
      </w:pPr>
      <w:r w:rsidRPr="006E5133">
        <w:rPr>
          <w:color w:val="231F20"/>
          <w:w w:val="95"/>
          <w:sz w:val="18"/>
          <w:szCs w:val="18"/>
          <w:lang w:val="es-ES"/>
        </w:rPr>
        <w:t>La nueva EUA representa solo la segunda vez que la FDA utiliza una autoridad de emergencia para permitir el uso de un medicamento para una indicación no aprobada.</w:t>
      </w:r>
      <w:r w:rsidR="00D34634" w:rsidRPr="006E5133">
        <w:rPr>
          <w:color w:val="231F20"/>
          <w:w w:val="95"/>
          <w:sz w:val="18"/>
          <w:szCs w:val="18"/>
          <w:lang w:val="es-ES"/>
        </w:rPr>
        <w:t xml:space="preserve"> </w:t>
      </w:r>
      <w:r w:rsidR="00E93DEC" w:rsidRPr="006E5133">
        <w:rPr>
          <w:color w:val="231F20"/>
          <w:w w:val="95"/>
          <w:sz w:val="18"/>
          <w:szCs w:val="18"/>
          <w:lang w:val="es-ES"/>
        </w:rPr>
        <w:t>Durante el brote de “gripe porcina” 2009–2010, la agencia permitió el uso de peramivir, un inhibidor de la neuraminidasa intravenosa en investigación, en pacientes hospitalizados gravemente enfermos con influenza H1N1.</w:t>
      </w:r>
      <w:r w:rsidR="00D34634" w:rsidRPr="006E5133">
        <w:rPr>
          <w:color w:val="231F20"/>
          <w:w w:val="95"/>
          <w:sz w:val="18"/>
          <w:szCs w:val="18"/>
          <w:lang w:val="es-ES"/>
        </w:rPr>
        <w:t xml:space="preserve"> </w:t>
      </w:r>
      <w:r w:rsidR="00E93DEC" w:rsidRPr="006E5133">
        <w:rPr>
          <w:color w:val="231F20"/>
          <w:w w:val="95"/>
          <w:sz w:val="18"/>
          <w:szCs w:val="18"/>
          <w:lang w:val="es-ES"/>
        </w:rPr>
        <w:t>Bajo ese EUA, el peramivir se administró a unos 1200 a 1500 pacientes, sin un seguimiento riguroso de qué pacientes lo recibieron o una recopilación de datos de resultados.</w:t>
      </w:r>
      <w:r w:rsidR="00D34634" w:rsidRPr="006E5133">
        <w:rPr>
          <w:color w:val="231F20"/>
          <w:w w:val="95"/>
          <w:sz w:val="18"/>
          <w:szCs w:val="18"/>
          <w:vertAlign w:val="superscript"/>
          <w:lang w:val="es-ES"/>
        </w:rPr>
        <w:t>2</w:t>
      </w:r>
      <w:r w:rsidR="00D34634" w:rsidRPr="006E5133">
        <w:rPr>
          <w:color w:val="231F20"/>
          <w:w w:val="95"/>
          <w:sz w:val="18"/>
          <w:szCs w:val="18"/>
          <w:lang w:val="es-ES"/>
        </w:rPr>
        <w:t xml:space="preserve"> </w:t>
      </w:r>
      <w:r w:rsidR="00E93DEC" w:rsidRPr="006E5133">
        <w:rPr>
          <w:color w:val="231F20"/>
          <w:w w:val="95"/>
          <w:sz w:val="18"/>
          <w:szCs w:val="18"/>
          <w:lang w:val="es-ES"/>
        </w:rPr>
        <w:t>Finalmente, un ensayo aleatorizado y controlado no logró mostrar ningún beneficio del peramivir en comparación con el placebo en pacientes hospitalizados con influenza gravemente enfermos; el medicamento fue aprobado en 2014 con una indicación solo para influenza no complicada y no para uso en pacientes hospitalizados gravemente enfermos.</w:t>
      </w:r>
    </w:p>
    <w:p w14:paraId="2F1FD577" w14:textId="5A113357" w:rsidR="007D680E" w:rsidRPr="006E5133" w:rsidRDefault="0088671E" w:rsidP="00E93DEC">
      <w:pPr>
        <w:pStyle w:val="Textoindependiente"/>
        <w:spacing w:line="232" w:lineRule="auto"/>
        <w:ind w:left="899" w:firstLine="235"/>
        <w:jc w:val="both"/>
        <w:rPr>
          <w:color w:val="231F20"/>
          <w:w w:val="95"/>
          <w:sz w:val="18"/>
          <w:szCs w:val="18"/>
          <w:lang w:val="es-ES"/>
        </w:rPr>
      </w:pPr>
      <w:r w:rsidRPr="006E5133">
        <w:rPr>
          <w:color w:val="231F20"/>
          <w:w w:val="95"/>
          <w:sz w:val="18"/>
          <w:szCs w:val="18"/>
          <w:lang w:val="es-ES"/>
        </w:rPr>
        <w:t>La hidroxicloroquina ya se comercializa para otras afecciones, por lo que a los médicos se les permitió recetarla fuera de etiqueta a pacientes con Covid-19 incluso antes de que se emitieran las recomendaciones de dosis de EUA o CDC.</w:t>
      </w:r>
      <w:r w:rsidR="00D34634" w:rsidRPr="006E5133">
        <w:rPr>
          <w:color w:val="231F20"/>
          <w:w w:val="95"/>
          <w:sz w:val="18"/>
          <w:szCs w:val="18"/>
          <w:lang w:val="es-ES"/>
        </w:rPr>
        <w:t xml:space="preserve"> </w:t>
      </w:r>
      <w:r w:rsidR="00E93DEC" w:rsidRPr="006E5133">
        <w:rPr>
          <w:color w:val="231F20"/>
          <w:w w:val="95"/>
          <w:sz w:val="18"/>
          <w:szCs w:val="18"/>
          <w:lang w:val="es-ES"/>
        </w:rPr>
        <w:t>Además, para los medicamentos en investigación que aún no se comercializan, los proveedores pueden solicitar un "acceso ampliado" para pacientes gravemente enfermos que carecen de opciones de tratamiento alternativas y no son elegibles para ensayos clínicos: permiso que la FDA casi siempre otorga.</w:t>
      </w:r>
      <w:r w:rsidR="00D34634" w:rsidRPr="006E5133">
        <w:rPr>
          <w:color w:val="231F20"/>
          <w:w w:val="95"/>
          <w:sz w:val="18"/>
          <w:szCs w:val="18"/>
          <w:lang w:val="es-ES"/>
        </w:rPr>
        <w:t xml:space="preserve"> </w:t>
      </w:r>
      <w:r w:rsidR="00E93DEC" w:rsidRPr="006E5133">
        <w:rPr>
          <w:color w:val="231F20"/>
          <w:w w:val="95"/>
          <w:sz w:val="18"/>
          <w:szCs w:val="18"/>
          <w:lang w:val="es-ES"/>
        </w:rPr>
        <w:t>Esta opción ya se ha utilizado para remdesivir, un medicamento antiviral en investigación cuyo fabricante lo ha proporcionado a más de mil pacientes con Covid-19 fuera de ensayos clínicos.</w:t>
      </w:r>
    </w:p>
    <w:p w14:paraId="2F1FD579" w14:textId="6CFC30A8" w:rsidR="007D680E" w:rsidRPr="006E5133" w:rsidRDefault="00E93DEC" w:rsidP="00E93DEC">
      <w:pPr>
        <w:pStyle w:val="Textoindependiente"/>
        <w:spacing w:line="218" w:lineRule="exact"/>
        <w:ind w:left="899" w:firstLine="235"/>
        <w:jc w:val="both"/>
        <w:rPr>
          <w:color w:val="231F20"/>
          <w:w w:val="95"/>
          <w:sz w:val="18"/>
          <w:szCs w:val="18"/>
          <w:lang w:val="es-ES"/>
        </w:rPr>
      </w:pPr>
      <w:r w:rsidRPr="006E5133">
        <w:rPr>
          <w:color w:val="231F20"/>
          <w:w w:val="95"/>
          <w:sz w:val="18"/>
          <w:szCs w:val="18"/>
          <w:lang w:val="es-ES"/>
        </w:rPr>
        <w:t xml:space="preserve">Incluso antes de la pandemia, muchos políticos conservadores y libertarios y grupos de defensa apoyaron la expansión del "derecho a probar" de los pacientes con </w:t>
      </w:r>
      <w:r w:rsidR="006E5133" w:rsidRPr="006E5133">
        <w:rPr>
          <w:color w:val="231F20"/>
          <w:w w:val="95"/>
          <w:sz w:val="18"/>
          <w:szCs w:val="18"/>
          <w:lang w:val="es-ES"/>
        </w:rPr>
        <w:t>medicamentos</w:t>
      </w:r>
      <w:r w:rsidRPr="006E5133">
        <w:rPr>
          <w:color w:val="231F20"/>
          <w:w w:val="95"/>
          <w:sz w:val="18"/>
          <w:szCs w:val="18"/>
          <w:lang w:val="es-ES"/>
        </w:rPr>
        <w:t xml:space="preserve"> experimentales no aprobad</w:t>
      </w:r>
      <w:r w:rsidR="006E5133" w:rsidRPr="006E5133">
        <w:rPr>
          <w:color w:val="231F20"/>
          <w:w w:val="95"/>
          <w:sz w:val="18"/>
          <w:szCs w:val="18"/>
          <w:lang w:val="es-ES"/>
        </w:rPr>
        <w:t>os</w:t>
      </w:r>
      <w:r w:rsidRPr="006E5133">
        <w:rPr>
          <w:color w:val="231F20"/>
          <w:w w:val="95"/>
          <w:sz w:val="18"/>
          <w:szCs w:val="18"/>
          <w:lang w:val="es-ES"/>
        </w:rPr>
        <w:t>. Esta posición ha</w:t>
      </w:r>
    </w:p>
    <w:p w14:paraId="2F1FD57C" w14:textId="50276681" w:rsidR="007D680E" w:rsidRPr="006E5133" w:rsidRDefault="00D34634" w:rsidP="00E93DEC">
      <w:pPr>
        <w:pStyle w:val="Textoindependiente"/>
        <w:spacing w:before="97" w:line="232" w:lineRule="auto"/>
        <w:ind w:left="199" w:right="1"/>
        <w:jc w:val="both"/>
        <w:rPr>
          <w:color w:val="231F20"/>
          <w:w w:val="95"/>
          <w:sz w:val="18"/>
          <w:szCs w:val="18"/>
          <w:lang w:val="es-ES"/>
        </w:rPr>
      </w:pPr>
      <w:r w:rsidRPr="006E5133">
        <w:rPr>
          <w:sz w:val="18"/>
          <w:szCs w:val="18"/>
          <w:lang w:val="es-ES"/>
        </w:rPr>
        <w:br w:type="column"/>
      </w:r>
      <w:r w:rsidR="00B02338" w:rsidRPr="006E5133">
        <w:rPr>
          <w:sz w:val="18"/>
          <w:szCs w:val="18"/>
          <w:lang w:val="es-ES"/>
        </w:rPr>
        <w:t>i</w:t>
      </w:r>
      <w:r w:rsidR="00E93DEC" w:rsidRPr="006E5133">
        <w:rPr>
          <w:color w:val="231F20"/>
          <w:w w:val="95"/>
          <w:sz w:val="18"/>
          <w:szCs w:val="18"/>
          <w:lang w:val="es-ES"/>
        </w:rPr>
        <w:t>ntensificado la creencia común pero falsa de que los procesos lentos y los requisitos excesivamente onerosos de la FDA impiden que los pacientes accedan a muchos medicamentos clínicamente útiles.</w:t>
      </w:r>
      <w:r w:rsidRPr="006E5133">
        <w:rPr>
          <w:color w:val="231F20"/>
          <w:w w:val="95"/>
          <w:sz w:val="18"/>
          <w:szCs w:val="18"/>
          <w:lang w:val="es-ES"/>
        </w:rPr>
        <w:t xml:space="preserve"> </w:t>
      </w:r>
      <w:r w:rsidR="00E93DEC" w:rsidRPr="006E5133">
        <w:rPr>
          <w:color w:val="231F20"/>
          <w:w w:val="95"/>
          <w:sz w:val="18"/>
          <w:szCs w:val="18"/>
          <w:lang w:val="es-ES"/>
        </w:rPr>
        <w:t>De hecho, la FDA preside uno de los procesos de aprobación de medicamentos más rápidos del mundo, y la mayoría de los medicamentos obtienen aprobación en los Estados Unidos antes de ser aprobados en Europa o Canadá.</w:t>
      </w:r>
      <w:r w:rsidRPr="006E5133">
        <w:rPr>
          <w:color w:val="231F20"/>
          <w:w w:val="95"/>
          <w:sz w:val="18"/>
          <w:szCs w:val="18"/>
          <w:vertAlign w:val="superscript"/>
          <w:lang w:val="es-ES"/>
        </w:rPr>
        <w:t>3</w:t>
      </w:r>
      <w:r w:rsidRPr="006E5133">
        <w:rPr>
          <w:color w:val="231F20"/>
          <w:w w:val="95"/>
          <w:sz w:val="18"/>
          <w:szCs w:val="18"/>
          <w:lang w:val="es-ES"/>
        </w:rPr>
        <w:t xml:space="preserve"> </w:t>
      </w:r>
      <w:r w:rsidR="00E93DEC" w:rsidRPr="006E5133">
        <w:rPr>
          <w:color w:val="231F20"/>
          <w:w w:val="95"/>
          <w:sz w:val="18"/>
          <w:szCs w:val="18"/>
          <w:lang w:val="es-ES"/>
        </w:rPr>
        <w:t>La FDA aprueba la abrumadora mayoría de las solicitudes de medicamentos que recibe, y en las últimas décadas ha estado aprobando más medicamentos sobre la base de pruebas limitadas, como menos ensayos clínicos por medicamento, ensayos con diseño subóptimo y ensayos que utilizan medidas sustitutivas. que puede o no predecir el beneficio clínico real, como puntos finales.</w:t>
      </w:r>
      <w:r w:rsidRPr="006E5133">
        <w:rPr>
          <w:color w:val="231F20"/>
          <w:w w:val="95"/>
          <w:sz w:val="18"/>
          <w:szCs w:val="18"/>
          <w:vertAlign w:val="superscript"/>
          <w:lang w:val="es-ES"/>
        </w:rPr>
        <w:t>4</w:t>
      </w:r>
    </w:p>
    <w:p w14:paraId="2F1FD57D" w14:textId="68693B56" w:rsidR="007D680E" w:rsidRPr="006E5133" w:rsidRDefault="00E93DEC">
      <w:pPr>
        <w:pStyle w:val="Textoindependiente"/>
        <w:spacing w:line="232" w:lineRule="auto"/>
        <w:ind w:left="199" w:firstLine="240"/>
        <w:jc w:val="both"/>
        <w:rPr>
          <w:color w:val="231F20"/>
          <w:w w:val="95"/>
          <w:sz w:val="18"/>
          <w:szCs w:val="18"/>
          <w:lang w:val="es-ES"/>
        </w:rPr>
      </w:pPr>
      <w:r w:rsidRPr="006E5133">
        <w:rPr>
          <w:color w:val="231F20"/>
          <w:w w:val="95"/>
          <w:sz w:val="18"/>
          <w:szCs w:val="18"/>
          <w:lang w:val="es-ES"/>
        </w:rPr>
        <w:t>Es probable que ampliar el acceso a las terapias experimentales que no se han evaluado por completo tenga varias consecuencias no deseadas.</w:t>
      </w:r>
      <w:r w:rsidR="00A07B1A" w:rsidRPr="006E5133">
        <w:rPr>
          <w:color w:val="231F20"/>
          <w:w w:val="95"/>
          <w:sz w:val="18"/>
          <w:szCs w:val="18"/>
          <w:lang w:val="es-ES"/>
        </w:rPr>
        <w:t xml:space="preserve"> Primero, los beneficios para los pacientes son desconocidos y pueden ser insignificantes (como en el caso del peramivir), en cuyo caso el acceso ampliado socava los intentos de los médicos de practicar la medicina basada en la evidencia.</w:t>
      </w:r>
      <w:r w:rsidR="00D34634" w:rsidRPr="006E5133">
        <w:rPr>
          <w:color w:val="231F20"/>
          <w:w w:val="95"/>
          <w:sz w:val="18"/>
          <w:szCs w:val="18"/>
          <w:lang w:val="es-ES"/>
        </w:rPr>
        <w:t xml:space="preserve"> </w:t>
      </w:r>
      <w:r w:rsidR="00A07B1A" w:rsidRPr="006E5133">
        <w:rPr>
          <w:color w:val="231F20"/>
          <w:w w:val="95"/>
          <w:sz w:val="18"/>
          <w:szCs w:val="18"/>
          <w:lang w:val="es-ES"/>
        </w:rPr>
        <w:t>En segundo lugar, los medicamentos como la hidroxicloroquina tienen riesgos bien documentados; someter a los pacientes a estos riesgos sería injustificable en ausencia de un beneficio clínico significativo. En tercer lugar, la distribución de medicamentos no probados bajo acceso ampliado o EUA puede restar valor a los recursos necesarios para llevar a cabo ensayos clínicos, incluida la base de pacientes y los fondos necesarios.</w:t>
      </w:r>
      <w:r w:rsidR="00D34634" w:rsidRPr="006E5133">
        <w:rPr>
          <w:color w:val="231F20"/>
          <w:w w:val="95"/>
          <w:sz w:val="18"/>
          <w:szCs w:val="18"/>
          <w:lang w:val="es-ES"/>
        </w:rPr>
        <w:t xml:space="preserve"> </w:t>
      </w:r>
      <w:r w:rsidR="00A07B1A" w:rsidRPr="006E5133">
        <w:rPr>
          <w:color w:val="231F20"/>
          <w:w w:val="95"/>
          <w:sz w:val="18"/>
          <w:szCs w:val="18"/>
          <w:lang w:val="es-ES"/>
        </w:rPr>
        <w:t>Dado que los datos de resultados clave a menudo no se recopilan fuera de un ensayo, esta redirección de recursos obstaculizará nuestra capacidad de determinar rápidamente si estos medicamentos son verdaderamente seguros y efectivos.</w:t>
      </w:r>
    </w:p>
    <w:p w14:paraId="2F1FD57F" w14:textId="32B1678A" w:rsidR="007D680E" w:rsidRPr="006E5133" w:rsidRDefault="00D34634" w:rsidP="00A07B1A">
      <w:pPr>
        <w:pStyle w:val="Textoindependiente"/>
        <w:spacing w:before="97" w:line="232" w:lineRule="auto"/>
        <w:ind w:left="198" w:right="777" w:firstLine="228"/>
        <w:jc w:val="both"/>
        <w:rPr>
          <w:color w:val="231F20"/>
          <w:w w:val="95"/>
          <w:sz w:val="18"/>
          <w:szCs w:val="18"/>
          <w:lang w:val="es-ES"/>
        </w:rPr>
      </w:pPr>
      <w:r w:rsidRPr="006E5133">
        <w:rPr>
          <w:color w:val="231F20"/>
          <w:w w:val="95"/>
          <w:sz w:val="18"/>
          <w:szCs w:val="18"/>
          <w:lang w:val="es-ES"/>
        </w:rPr>
        <w:br w:type="column"/>
      </w:r>
      <w:r w:rsidR="00A07B1A" w:rsidRPr="006E5133">
        <w:rPr>
          <w:color w:val="231F20"/>
          <w:w w:val="95"/>
          <w:sz w:val="18"/>
          <w:szCs w:val="18"/>
          <w:lang w:val="es-ES"/>
        </w:rPr>
        <w:t>Finalmente, con los medicamentos que ya se comercializan para otras afecciones, el uso generalizado no autorizado puede limitar el acceso de los pacientes que los necesitan para su uso establecido. Después de que Trump promovió la hidroxicloroquina, la prescripción del medicamento aumentó rápidamente, lo que provocó una escasez sustancial que afecta a los pacientes que lo toman por artritis reumatoide o lupus, indicaciones para las cuales se ha demostrado su eficacia.</w:t>
      </w:r>
    </w:p>
    <w:p w14:paraId="2F1FD581" w14:textId="078A414B" w:rsidR="007D680E" w:rsidRPr="006E5133" w:rsidRDefault="00A07B1A" w:rsidP="00A07B1A">
      <w:pPr>
        <w:pStyle w:val="Textoindependiente"/>
        <w:spacing w:before="1" w:line="232" w:lineRule="auto"/>
        <w:ind w:left="198" w:right="777" w:firstLine="228"/>
        <w:jc w:val="both"/>
        <w:rPr>
          <w:color w:val="231F20"/>
          <w:w w:val="95"/>
          <w:sz w:val="18"/>
          <w:szCs w:val="18"/>
          <w:lang w:val="es-ES"/>
        </w:rPr>
      </w:pPr>
      <w:r w:rsidRPr="006E5133">
        <w:rPr>
          <w:color w:val="231F20"/>
          <w:w w:val="95"/>
          <w:sz w:val="18"/>
          <w:szCs w:val="18"/>
          <w:lang w:val="es-ES"/>
        </w:rPr>
        <w:t>Durante una pandemia que está causando que la morbilidad y la mortalidad crezcan exponencialmente, existe una tentación comprensible de hacer que las terapias no probadas estén ampliamente disponibles y no esperar datos rigurosos de ensayos clínicos.</w:t>
      </w:r>
      <w:r w:rsidR="00D34634" w:rsidRPr="006E5133">
        <w:rPr>
          <w:color w:val="231F20"/>
          <w:w w:val="95"/>
          <w:sz w:val="18"/>
          <w:szCs w:val="18"/>
          <w:lang w:val="es-ES"/>
        </w:rPr>
        <w:t xml:space="preserve"> </w:t>
      </w:r>
      <w:r w:rsidRPr="006E5133">
        <w:rPr>
          <w:color w:val="231F20"/>
          <w:w w:val="95"/>
          <w:sz w:val="18"/>
          <w:szCs w:val="18"/>
          <w:lang w:val="es-ES"/>
        </w:rPr>
        <w:t>Sin embargo, los ensayos aleatorizados y controlados bien realizados en estos pacientes con enfermedades agudas pueden llevarse a cabo con bastante rapidez.</w:t>
      </w:r>
      <w:r w:rsidR="00D34634" w:rsidRPr="006E5133">
        <w:rPr>
          <w:color w:val="231F20"/>
          <w:w w:val="95"/>
          <w:sz w:val="18"/>
          <w:szCs w:val="18"/>
          <w:lang w:val="es-ES"/>
        </w:rPr>
        <w:t xml:space="preserve"> </w:t>
      </w:r>
      <w:r w:rsidRPr="006E5133">
        <w:rPr>
          <w:color w:val="231F20"/>
          <w:w w:val="95"/>
          <w:sz w:val="18"/>
          <w:szCs w:val="18"/>
          <w:lang w:val="es-ES"/>
        </w:rPr>
        <w:t>Miles de nuevos pacientes con Covid-19 se presentan a la atención cada día, y muchos pueden ser (y son) rápidamente inscritos en ensayos clínicos pragmáticos.</w:t>
      </w:r>
      <w:r w:rsidR="00D34634" w:rsidRPr="006E5133">
        <w:rPr>
          <w:color w:val="231F20"/>
          <w:w w:val="95"/>
          <w:sz w:val="18"/>
          <w:szCs w:val="18"/>
          <w:lang w:val="es-ES"/>
        </w:rPr>
        <w:t xml:space="preserve"> </w:t>
      </w:r>
      <w:r w:rsidRPr="006E5133">
        <w:rPr>
          <w:color w:val="231F20"/>
          <w:w w:val="95"/>
          <w:sz w:val="18"/>
          <w:szCs w:val="18"/>
          <w:lang w:val="es-ES"/>
        </w:rPr>
        <w:t>Los resultados clínicos más relevantes para evaluar estos medicamentos, incluida la muerte, la hospitalización, la cantidad de días que pasaron en cuidados intensivos y la necesidad de un respirador, se evalúan fácilmente y están disponibles en días o semanas.</w:t>
      </w:r>
    </w:p>
    <w:p w14:paraId="1066D1AB" w14:textId="12943570" w:rsidR="007D680E" w:rsidRPr="006E5133" w:rsidRDefault="00A07B1A" w:rsidP="00A07B1A">
      <w:pPr>
        <w:pStyle w:val="Textoindependiente"/>
        <w:spacing w:before="2" w:line="232" w:lineRule="auto"/>
        <w:ind w:left="198" w:right="777" w:firstLine="228"/>
        <w:jc w:val="both"/>
        <w:rPr>
          <w:color w:val="231F20"/>
          <w:w w:val="95"/>
          <w:sz w:val="18"/>
          <w:szCs w:val="18"/>
          <w:lang w:val="es-ES"/>
        </w:rPr>
      </w:pPr>
      <w:r w:rsidRPr="006E5133">
        <w:rPr>
          <w:color w:val="231F20"/>
          <w:w w:val="95"/>
          <w:sz w:val="18"/>
          <w:szCs w:val="18"/>
          <w:lang w:val="es-ES"/>
        </w:rPr>
        <w:t>Se están investigando al menos 25 fármacos para su uso en Covid-19, con 10 en ensayos clínicos activos. l primer ensayo controlado aleatorio principal publicado de una combinación de medicamentos antivirales (lopi-navir-ritonavir) comenzó a reclutar pacientes en China solo una semana después de que se había identificado el virus.</w:t>
      </w:r>
      <w:r w:rsidR="00D34634" w:rsidRPr="006E5133">
        <w:rPr>
          <w:color w:val="231F20"/>
          <w:w w:val="95"/>
          <w:sz w:val="18"/>
          <w:szCs w:val="18"/>
          <w:vertAlign w:val="superscript"/>
          <w:lang w:val="es-ES"/>
        </w:rPr>
        <w:t>5</w:t>
      </w:r>
      <w:r w:rsidRPr="006E5133">
        <w:rPr>
          <w:lang w:val="es-ES"/>
        </w:rPr>
        <w:t xml:space="preserve"> </w:t>
      </w:r>
      <w:r w:rsidRPr="006E5133">
        <w:rPr>
          <w:color w:val="231F20"/>
          <w:w w:val="95"/>
          <w:sz w:val="18"/>
          <w:szCs w:val="18"/>
          <w:lang w:val="es-ES"/>
        </w:rPr>
        <w:t>Contrariamente a lo esperado, sus resultados fueron negativos, proporcionando una importante orientación clínica.</w:t>
      </w:r>
    </w:p>
    <w:p w14:paraId="5AD2C39B" w14:textId="64FE5E73" w:rsidR="00B02338" w:rsidRPr="006E5133" w:rsidRDefault="00B02338" w:rsidP="00A07B1A">
      <w:pPr>
        <w:pStyle w:val="Textoindependiente"/>
        <w:spacing w:before="2" w:line="232" w:lineRule="auto"/>
        <w:ind w:left="198" w:right="777" w:firstLine="228"/>
        <w:jc w:val="both"/>
        <w:rPr>
          <w:color w:val="231F20"/>
          <w:w w:val="95"/>
          <w:sz w:val="18"/>
          <w:szCs w:val="18"/>
          <w:lang w:val="es-ES"/>
        </w:rPr>
      </w:pPr>
      <w:r w:rsidRPr="006E5133">
        <w:rPr>
          <w:color w:val="231F20"/>
          <w:w w:val="95"/>
          <w:sz w:val="18"/>
          <w:szCs w:val="18"/>
          <w:lang w:val="es-ES"/>
        </w:rPr>
        <w:t>Si surgen datos que demuestren que algún régimen es realmente</w:t>
      </w:r>
    </w:p>
    <w:p w14:paraId="2F1FD585" w14:textId="74C4FDB8" w:rsidR="00A07B1A" w:rsidRPr="006E5133" w:rsidRDefault="00B02338" w:rsidP="00A07B1A">
      <w:pPr>
        <w:pStyle w:val="Textoindependiente"/>
        <w:spacing w:before="2" w:line="232" w:lineRule="auto"/>
        <w:ind w:left="198" w:right="777" w:firstLine="228"/>
        <w:jc w:val="both"/>
        <w:rPr>
          <w:lang w:val="es-ES"/>
        </w:rPr>
        <w:sectPr w:rsidR="00A07B1A" w:rsidRPr="006E5133" w:rsidSect="00093E12">
          <w:type w:val="continuous"/>
          <w:pgSz w:w="11340" w:h="15120"/>
          <w:pgMar w:top="660" w:right="460" w:bottom="1140" w:left="520" w:header="720" w:footer="720" w:gutter="0"/>
          <w:cols w:num="3" w:space="720" w:equalWidth="0">
            <w:col w:w="3634" w:space="40"/>
            <w:col w:w="2935" w:space="39"/>
            <w:col w:w="3712"/>
          </w:cols>
        </w:sectPr>
      </w:pPr>
      <w:r w:rsidRPr="006E5133">
        <w:rPr>
          <w:lang w:val="es-ES"/>
        </w:rPr>
        <w:t xml:space="preserve"> </w:t>
      </w:r>
    </w:p>
    <w:p w14:paraId="2F1FD586" w14:textId="77777777" w:rsidR="007D680E" w:rsidRPr="006E5133" w:rsidRDefault="007D680E">
      <w:pPr>
        <w:pStyle w:val="Textoindependiente"/>
        <w:rPr>
          <w:lang w:val="es-ES"/>
        </w:rPr>
      </w:pPr>
    </w:p>
    <w:p w14:paraId="2F1FD587" w14:textId="77777777" w:rsidR="007D680E" w:rsidRPr="006E5133" w:rsidRDefault="007D680E">
      <w:pPr>
        <w:pStyle w:val="Textoindependiente"/>
        <w:spacing w:before="4"/>
        <w:rPr>
          <w:sz w:val="25"/>
          <w:lang w:val="es-ES"/>
        </w:rPr>
      </w:pPr>
    </w:p>
    <w:p w14:paraId="2F1FD58A" w14:textId="0E50E6D9" w:rsidR="007D680E" w:rsidRPr="005D4215" w:rsidRDefault="005D4215">
      <w:pPr>
        <w:spacing w:before="104"/>
        <w:ind w:left="725"/>
        <w:rPr>
          <w:rFonts w:ascii="Calibri"/>
          <w:sz w:val="18"/>
          <w:lang w:val="es-MX"/>
        </w:rPr>
      </w:pPr>
      <w:r w:rsidRPr="005D4215">
        <w:rPr>
          <w:rFonts w:ascii="Calibri"/>
          <w:color w:val="ED1C24"/>
          <w:w w:val="110"/>
          <w:sz w:val="18"/>
          <w:lang w:val="es-MX"/>
        </w:rPr>
        <w:t>PERSPECTIVA</w:t>
      </w:r>
      <w:r w:rsidR="00D34634" w:rsidRPr="005D4215">
        <w:rPr>
          <w:rFonts w:ascii="Calibri"/>
          <w:color w:val="ED1C24"/>
          <w:sz w:val="18"/>
          <w:lang w:val="es-MX"/>
        </w:rPr>
        <w:t xml:space="preserve"> </w:t>
      </w:r>
    </w:p>
    <w:p w14:paraId="2F1FD58B" w14:textId="32DD3067" w:rsidR="007D680E" w:rsidRPr="005D4215" w:rsidRDefault="00D34634">
      <w:pPr>
        <w:spacing w:before="59"/>
        <w:ind w:left="725"/>
        <w:rPr>
          <w:rFonts w:ascii="Calibri"/>
          <w:sz w:val="17"/>
          <w:lang w:val="es-MX"/>
        </w:rPr>
      </w:pPr>
      <w:r w:rsidRPr="005D4215">
        <w:rPr>
          <w:lang w:val="es-MX"/>
        </w:rPr>
        <w:br w:type="column"/>
      </w:r>
      <w:r w:rsidR="005D4215" w:rsidRPr="005D4215">
        <w:rPr>
          <w:rFonts w:ascii="Calibri"/>
          <w:color w:val="231F20"/>
          <w:w w:val="120"/>
          <w:sz w:val="17"/>
          <w:lang w:val="es-MX"/>
        </w:rPr>
        <w:t>Evaluaci</w:t>
      </w:r>
      <w:r w:rsidR="005D4215" w:rsidRPr="005D4215">
        <w:rPr>
          <w:rFonts w:ascii="Calibri"/>
          <w:color w:val="231F20"/>
          <w:w w:val="120"/>
          <w:sz w:val="17"/>
          <w:lang w:val="es-MX"/>
        </w:rPr>
        <w:t>ó</w:t>
      </w:r>
      <w:r w:rsidR="005D4215" w:rsidRPr="005D4215">
        <w:rPr>
          <w:rFonts w:ascii="Calibri"/>
          <w:color w:val="231F20"/>
          <w:w w:val="120"/>
          <w:sz w:val="17"/>
          <w:lang w:val="es-MX"/>
        </w:rPr>
        <w:t>n de medicamentos durante la</w:t>
      </w:r>
      <w:r w:rsidR="005D4215">
        <w:rPr>
          <w:rFonts w:ascii="Calibri"/>
          <w:color w:val="231F20"/>
          <w:w w:val="120"/>
          <w:sz w:val="17"/>
          <w:lang w:val="es-MX"/>
        </w:rPr>
        <w:t xml:space="preserve"> pandemia de COVID-19</w:t>
      </w:r>
      <w:bookmarkStart w:id="0" w:name="_GoBack"/>
      <w:bookmarkEnd w:id="0"/>
    </w:p>
    <w:p w14:paraId="2F1FD58C" w14:textId="77777777" w:rsidR="007D680E" w:rsidRPr="005D4215" w:rsidRDefault="007D680E">
      <w:pPr>
        <w:rPr>
          <w:rFonts w:ascii="Calibri"/>
          <w:sz w:val="17"/>
          <w:lang w:val="es-MX"/>
        </w:rPr>
        <w:sectPr w:rsidR="007D680E" w:rsidRPr="005D4215">
          <w:pgSz w:w="11340" w:h="15120"/>
          <w:pgMar w:top="340" w:right="460" w:bottom="780" w:left="520" w:header="0" w:footer="583" w:gutter="0"/>
          <w:cols w:num="2" w:space="720" w:equalWidth="0">
            <w:col w:w="2021" w:space="3540"/>
            <w:col w:w="4799"/>
          </w:cols>
        </w:sectPr>
      </w:pPr>
    </w:p>
    <w:p w14:paraId="2F1FD58D" w14:textId="77777777" w:rsidR="007D680E" w:rsidRPr="005D4215" w:rsidRDefault="007D680E">
      <w:pPr>
        <w:pStyle w:val="Textoindependiente"/>
        <w:spacing w:before="12"/>
        <w:rPr>
          <w:rFonts w:ascii="Calibri"/>
          <w:sz w:val="23"/>
          <w:lang w:val="es-MX"/>
        </w:rPr>
      </w:pPr>
    </w:p>
    <w:p w14:paraId="2F1FD58E" w14:textId="77777777" w:rsidR="007D680E" w:rsidRPr="005D4215" w:rsidRDefault="007D680E">
      <w:pPr>
        <w:rPr>
          <w:rFonts w:ascii="Calibri"/>
          <w:sz w:val="23"/>
          <w:lang w:val="es-MX"/>
        </w:rPr>
        <w:sectPr w:rsidR="007D680E" w:rsidRPr="005D4215">
          <w:type w:val="continuous"/>
          <w:pgSz w:w="11340" w:h="15120"/>
          <w:pgMar w:top="660" w:right="460" w:bottom="1140" w:left="520" w:header="720" w:footer="720" w:gutter="0"/>
          <w:cols w:space="720"/>
        </w:sectPr>
      </w:pPr>
    </w:p>
    <w:p w14:paraId="752BEE87" w14:textId="77777777" w:rsidR="00D60829" w:rsidRPr="006E5133" w:rsidRDefault="00B02338" w:rsidP="00D60829">
      <w:pPr>
        <w:pStyle w:val="Textoindependiente"/>
        <w:spacing w:before="97" w:line="232" w:lineRule="auto"/>
        <w:ind w:left="993" w:right="424"/>
        <w:jc w:val="both"/>
        <w:rPr>
          <w:color w:val="231F20"/>
          <w:w w:val="95"/>
          <w:sz w:val="18"/>
          <w:szCs w:val="18"/>
          <w:lang w:val="es-ES"/>
        </w:rPr>
      </w:pPr>
      <w:r w:rsidRPr="006E5133">
        <w:rPr>
          <w:color w:val="231F20"/>
          <w:w w:val="95"/>
          <w:sz w:val="18"/>
          <w:szCs w:val="18"/>
          <w:lang w:val="es-ES"/>
        </w:rPr>
        <w:t>efectivo en el tratamiento de Covid-19, la FDA debería poder revisar esos datos y proporcionar una decisión de aprobación dentro de días o semanas.</w:t>
      </w:r>
      <w:r w:rsidR="00D60829" w:rsidRPr="006E5133">
        <w:rPr>
          <w:color w:val="231F20"/>
          <w:w w:val="95"/>
          <w:sz w:val="18"/>
          <w:szCs w:val="18"/>
          <w:lang w:val="es-ES"/>
        </w:rPr>
        <w:t xml:space="preserve"> La agencia ya ha establecido un programa de aceleración del tratamiento con coronavirus para ayudar a los fabricantes a navegar los requisitos administrativos y acelerar el proceso de revisión.</w:t>
      </w:r>
      <w:r w:rsidR="00D34634" w:rsidRPr="006E5133">
        <w:rPr>
          <w:color w:val="231F20"/>
          <w:w w:val="95"/>
          <w:sz w:val="18"/>
          <w:szCs w:val="18"/>
          <w:lang w:val="es-ES"/>
        </w:rPr>
        <w:t xml:space="preserve"> </w:t>
      </w:r>
      <w:r w:rsidR="00D60829" w:rsidRPr="006E5133">
        <w:rPr>
          <w:color w:val="231F20"/>
          <w:w w:val="95"/>
          <w:sz w:val="18"/>
          <w:szCs w:val="18"/>
          <w:lang w:val="es-ES"/>
        </w:rPr>
        <w:t>Los ensayos clínicos adecuados pronto confirmarán o refutarán la utilidad de varios fármacos candidatos en el tratamiento de Covid-19.</w:t>
      </w:r>
      <w:r w:rsidR="00D34634" w:rsidRPr="006E5133">
        <w:rPr>
          <w:color w:val="231F20"/>
          <w:w w:val="95"/>
          <w:sz w:val="18"/>
          <w:szCs w:val="18"/>
          <w:lang w:val="es-ES"/>
        </w:rPr>
        <w:t xml:space="preserve"> </w:t>
      </w:r>
      <w:r w:rsidR="00D60829" w:rsidRPr="006E5133">
        <w:rPr>
          <w:color w:val="231F20"/>
          <w:w w:val="95"/>
          <w:sz w:val="18"/>
          <w:szCs w:val="18"/>
          <w:lang w:val="es-ES"/>
        </w:rPr>
        <w:t>Pero las semanas previas a la provisión de esa evidencia revelan una gran cantidad de amenazas a nuestro enfoque para evaluar los medicamentos.</w:t>
      </w:r>
      <w:r w:rsidR="00D34634" w:rsidRPr="006E5133">
        <w:rPr>
          <w:color w:val="231F20"/>
          <w:w w:val="95"/>
          <w:sz w:val="18"/>
          <w:szCs w:val="18"/>
          <w:lang w:val="es-ES"/>
        </w:rPr>
        <w:t xml:space="preserve"> </w:t>
      </w:r>
      <w:r w:rsidR="00D60829" w:rsidRPr="006E5133">
        <w:rPr>
          <w:color w:val="231F20"/>
          <w:w w:val="95"/>
          <w:sz w:val="18"/>
          <w:szCs w:val="18"/>
          <w:lang w:val="es-ES"/>
        </w:rPr>
        <w:t>Cuestiones tales como un diseño de ensayo inadecuado, declaraciones públicas excesivas y el uso generalizado de tratamientos no probados continuarán presentándose durante esta pandemia y más allá.</w:t>
      </w:r>
    </w:p>
    <w:p w14:paraId="2F1FD591" w14:textId="4D09184D" w:rsidR="007D680E" w:rsidRPr="006E5133" w:rsidRDefault="00D60829" w:rsidP="00D60829">
      <w:pPr>
        <w:pStyle w:val="Textoindependiente"/>
        <w:spacing w:before="97" w:line="232" w:lineRule="auto"/>
        <w:ind w:left="993" w:right="424" w:firstLine="283"/>
        <w:jc w:val="both"/>
        <w:rPr>
          <w:color w:val="231F20"/>
          <w:w w:val="95"/>
          <w:sz w:val="18"/>
          <w:szCs w:val="18"/>
          <w:lang w:val="es-ES"/>
        </w:rPr>
      </w:pPr>
      <w:r w:rsidRPr="006E5133">
        <w:rPr>
          <w:color w:val="231F20"/>
          <w:w w:val="95"/>
          <w:sz w:val="18"/>
          <w:szCs w:val="18"/>
          <w:lang w:val="es-ES"/>
        </w:rPr>
        <w:t xml:space="preserve">La evaluación rigurosa previa a la comercialización de la seguridad y la eficacia de los medicamentos en ensayos aleatorizados y controlados </w:t>
      </w:r>
    </w:p>
    <w:p w14:paraId="2F1FD592" w14:textId="4CEE0831" w:rsidR="007D680E" w:rsidRPr="006E5133" w:rsidRDefault="00D34634" w:rsidP="00D60829">
      <w:pPr>
        <w:pStyle w:val="Textoindependiente"/>
        <w:spacing w:before="97" w:line="232" w:lineRule="auto"/>
        <w:jc w:val="both"/>
        <w:rPr>
          <w:color w:val="231F20"/>
          <w:w w:val="95"/>
          <w:sz w:val="18"/>
          <w:szCs w:val="18"/>
          <w:lang w:val="es-ES"/>
        </w:rPr>
      </w:pPr>
      <w:r w:rsidRPr="006E5133">
        <w:rPr>
          <w:color w:val="231F20"/>
          <w:w w:val="95"/>
          <w:sz w:val="18"/>
          <w:szCs w:val="18"/>
          <w:lang w:val="es-ES"/>
        </w:rPr>
        <w:br w:type="column"/>
      </w:r>
      <w:r w:rsidR="00D60829" w:rsidRPr="006E5133">
        <w:rPr>
          <w:color w:val="231F20"/>
          <w:w w:val="95"/>
          <w:sz w:val="18"/>
          <w:szCs w:val="18"/>
          <w:lang w:val="es-ES"/>
        </w:rPr>
        <w:t>sigue siendo nuestra herramienta principal para proteger al público de los medicamentos que son ineficaces, inseguros o ambos. Es una falsa dicotomía sugerir que debemos elegir entre un despliegue rápido de tratamientos y un escrutinio científico adecuado.</w:t>
      </w:r>
      <w:r w:rsidRPr="006E5133">
        <w:rPr>
          <w:color w:val="231F20"/>
          <w:w w:val="95"/>
          <w:sz w:val="18"/>
          <w:szCs w:val="18"/>
          <w:lang w:val="es-ES"/>
        </w:rPr>
        <w:t xml:space="preserve"> </w:t>
      </w:r>
      <w:r w:rsidR="00D60829" w:rsidRPr="006E5133">
        <w:rPr>
          <w:color w:val="231F20"/>
          <w:w w:val="95"/>
          <w:sz w:val="18"/>
          <w:szCs w:val="18"/>
          <w:lang w:val="es-ES"/>
        </w:rPr>
        <w:t>Para la pandemia de Covid-19 y otros desafíos médicos apremiantes</w:t>
      </w:r>
      <w:r w:rsidRPr="006E5133">
        <w:rPr>
          <w:color w:val="231F20"/>
          <w:w w:val="95"/>
          <w:sz w:val="18"/>
          <w:szCs w:val="18"/>
          <w:lang w:val="es-ES"/>
        </w:rPr>
        <w:t xml:space="preserve">, </w:t>
      </w:r>
      <w:r w:rsidR="00D60829" w:rsidRPr="006E5133">
        <w:rPr>
          <w:color w:val="231F20"/>
          <w:w w:val="95"/>
          <w:sz w:val="18"/>
          <w:szCs w:val="18"/>
          <w:lang w:val="es-ES"/>
        </w:rPr>
        <w:t>la salud de los pacientes individuales y del público en general se verá mejor si nos mantenemos fieles a nuestro enfoque probado por el tiempo para la evidencia de los ensayos clínicos y la evaluación de medicamentos, en lugar de atajar y recurrir a soluciones rápidas atractivas pero arriesgadas.</w:t>
      </w:r>
      <w:r w:rsidRPr="006E5133">
        <w:rPr>
          <w:color w:val="231F20"/>
          <w:w w:val="95"/>
          <w:sz w:val="18"/>
          <w:szCs w:val="18"/>
          <w:lang w:val="es-ES"/>
        </w:rPr>
        <w:t xml:space="preserve"> </w:t>
      </w:r>
      <w:r w:rsidR="00D60829" w:rsidRPr="006E5133">
        <w:rPr>
          <w:color w:val="231F20"/>
          <w:w w:val="95"/>
          <w:sz w:val="18"/>
          <w:szCs w:val="18"/>
          <w:lang w:val="es-ES"/>
        </w:rPr>
        <w:t>La pandemia inevitablemente dejará una considerable morbilidad, mortalidad y pérdida a su paso.</w:t>
      </w:r>
      <w:r w:rsidRPr="006E5133">
        <w:rPr>
          <w:color w:val="231F20"/>
          <w:w w:val="95"/>
          <w:sz w:val="18"/>
          <w:szCs w:val="18"/>
          <w:lang w:val="es-ES"/>
        </w:rPr>
        <w:t xml:space="preserve"> </w:t>
      </w:r>
      <w:r w:rsidR="00D60829" w:rsidRPr="006E5133">
        <w:rPr>
          <w:color w:val="231F20"/>
          <w:w w:val="95"/>
          <w:sz w:val="18"/>
          <w:szCs w:val="18"/>
          <w:lang w:val="es-ES"/>
        </w:rPr>
        <w:t>El daño al proceso de evaluación de medicamentos del país, y el respeto del público por él, no debe ser parte de su legado.</w:t>
      </w:r>
    </w:p>
    <w:p w14:paraId="2F1FD593" w14:textId="0C2F8412" w:rsidR="007D680E" w:rsidRPr="006E5133" w:rsidRDefault="00D60829" w:rsidP="00D60829">
      <w:pPr>
        <w:spacing w:before="24" w:line="232" w:lineRule="auto"/>
        <w:ind w:firstLine="160"/>
        <w:jc w:val="both"/>
        <w:rPr>
          <w:sz w:val="15"/>
          <w:lang w:val="es-ES"/>
        </w:rPr>
      </w:pPr>
      <w:r w:rsidRPr="006E5133">
        <w:rPr>
          <w:color w:val="231F20"/>
          <w:sz w:val="15"/>
          <w:lang w:val="es-ES"/>
        </w:rPr>
        <w:t>Los formularios de divulgación proporcionados por los autores están disponibles en</w:t>
      </w:r>
      <w:r w:rsidR="00D34634" w:rsidRPr="006E5133">
        <w:rPr>
          <w:color w:val="231F20"/>
          <w:sz w:val="15"/>
          <w:lang w:val="es-ES"/>
        </w:rPr>
        <w:t xml:space="preserve"> NEJM.org.</w:t>
      </w:r>
    </w:p>
    <w:p w14:paraId="2F1FD594" w14:textId="4DCC6F54" w:rsidR="007D680E" w:rsidRPr="006E5133" w:rsidRDefault="00257356">
      <w:pPr>
        <w:pStyle w:val="Textoindependiente"/>
        <w:spacing w:before="11"/>
        <w:rPr>
          <w:sz w:val="11"/>
          <w:lang w:val="es-ES"/>
        </w:rPr>
      </w:pPr>
      <w:r>
        <w:rPr>
          <w:sz w:val="2"/>
          <w:lang w:val="es-ES"/>
        </w:rPr>
      </w:r>
      <w:r>
        <w:rPr>
          <w:sz w:val="2"/>
          <w:lang w:val="es-ES"/>
        </w:rPr>
        <w:pict w14:anchorId="0A788D2B">
          <v:group id="_x0000_s1028" style="width:153.05pt;height:3.55pt;flip:y;mso-position-horizontal-relative:char;mso-position-vertical-relative:line" coordsize="2734,10">
            <v:line id="_x0000_s1029" style="position:absolute" from="0,5" to="2733,5" strokecolor="#231f20" strokeweight=".5pt"/>
            <w10:wrap type="none"/>
            <w10:anchorlock/>
          </v:group>
        </w:pict>
      </w:r>
    </w:p>
    <w:p w14:paraId="2F1FD595" w14:textId="4D0419CB" w:rsidR="007D680E" w:rsidRPr="006E5133" w:rsidRDefault="007D680E">
      <w:pPr>
        <w:pStyle w:val="Textoindependiente"/>
        <w:spacing w:line="20" w:lineRule="exact"/>
        <w:ind w:left="194" w:right="-58"/>
        <w:rPr>
          <w:sz w:val="2"/>
          <w:lang w:val="es-ES"/>
        </w:rPr>
      </w:pPr>
    </w:p>
    <w:p w14:paraId="2F1FD596" w14:textId="034C4C06" w:rsidR="007D680E" w:rsidRPr="006E5133" w:rsidRDefault="00D60829" w:rsidP="00D60829">
      <w:pPr>
        <w:spacing w:before="5" w:line="244" w:lineRule="auto"/>
        <w:jc w:val="both"/>
        <w:rPr>
          <w:rFonts w:ascii="Lucida Sans"/>
          <w:sz w:val="15"/>
          <w:lang w:val="es-ES"/>
        </w:rPr>
      </w:pPr>
      <w:r w:rsidRPr="006E5133">
        <w:rPr>
          <w:rFonts w:ascii="Lucida Sans"/>
          <w:color w:val="231F20"/>
          <w:w w:val="95"/>
          <w:sz w:val="15"/>
          <w:lang w:val="es-ES"/>
        </w:rPr>
        <w:t>Del Programa de Regulaci</w:t>
      </w:r>
      <w:r w:rsidRPr="006E5133">
        <w:rPr>
          <w:rFonts w:ascii="Lucida Sans"/>
          <w:color w:val="231F20"/>
          <w:w w:val="95"/>
          <w:sz w:val="15"/>
          <w:lang w:val="es-ES"/>
        </w:rPr>
        <w:t>ó</w:t>
      </w:r>
      <w:r w:rsidRPr="006E5133">
        <w:rPr>
          <w:rFonts w:ascii="Lucida Sans"/>
          <w:color w:val="231F20"/>
          <w:w w:val="95"/>
          <w:sz w:val="15"/>
          <w:lang w:val="es-ES"/>
        </w:rPr>
        <w:t>n, Terap</w:t>
      </w:r>
      <w:r w:rsidRPr="006E5133">
        <w:rPr>
          <w:rFonts w:ascii="Lucida Sans"/>
          <w:color w:val="231F20"/>
          <w:w w:val="95"/>
          <w:sz w:val="15"/>
          <w:lang w:val="es-ES"/>
        </w:rPr>
        <w:t>é</w:t>
      </w:r>
      <w:r w:rsidRPr="006E5133">
        <w:rPr>
          <w:rFonts w:ascii="Lucida Sans"/>
          <w:color w:val="231F20"/>
          <w:w w:val="95"/>
          <w:sz w:val="15"/>
          <w:lang w:val="es-ES"/>
        </w:rPr>
        <w:t>utica y Derecho (PORTAL),</w:t>
      </w:r>
      <w:r w:rsidRPr="006E5133">
        <w:rPr>
          <w:lang w:val="es-ES"/>
        </w:rPr>
        <w:t xml:space="preserve"> </w:t>
      </w:r>
      <w:r w:rsidRPr="006E5133">
        <w:rPr>
          <w:rFonts w:ascii="Lucida Sans"/>
          <w:color w:val="231F20"/>
          <w:w w:val="95"/>
          <w:sz w:val="15"/>
          <w:lang w:val="es-ES"/>
        </w:rPr>
        <w:t>Divisi</w:t>
      </w:r>
      <w:r w:rsidRPr="006E5133">
        <w:rPr>
          <w:rFonts w:ascii="Lucida Sans"/>
          <w:color w:val="231F20"/>
          <w:w w:val="95"/>
          <w:sz w:val="15"/>
          <w:lang w:val="es-ES"/>
        </w:rPr>
        <w:t>ó</w:t>
      </w:r>
      <w:r w:rsidRPr="006E5133">
        <w:rPr>
          <w:rFonts w:ascii="Lucida Sans"/>
          <w:color w:val="231F20"/>
          <w:w w:val="95"/>
          <w:sz w:val="15"/>
          <w:lang w:val="es-ES"/>
        </w:rPr>
        <w:t xml:space="preserve">n de </w:t>
      </w:r>
    </w:p>
    <w:p w14:paraId="2F1FD597" w14:textId="317056DD" w:rsidR="007D680E" w:rsidRPr="006E5133" w:rsidRDefault="00D34634">
      <w:pPr>
        <w:spacing w:before="87" w:line="244" w:lineRule="auto"/>
        <w:ind w:left="199" w:right="159"/>
        <w:jc w:val="both"/>
        <w:rPr>
          <w:rFonts w:ascii="Lucida Sans" w:hAnsi="Lucida Sans"/>
          <w:sz w:val="15"/>
          <w:lang w:val="es-ES"/>
        </w:rPr>
      </w:pPr>
      <w:r w:rsidRPr="006E5133">
        <w:rPr>
          <w:lang w:val="es-ES"/>
        </w:rPr>
        <w:br w:type="column"/>
      </w:r>
      <w:r w:rsidR="006E5133" w:rsidRPr="006E5133">
        <w:rPr>
          <w:rFonts w:ascii="Lucida Sans" w:hAnsi="Lucida Sans"/>
          <w:color w:val="231F20"/>
          <w:w w:val="90"/>
          <w:sz w:val="15"/>
          <w:lang w:val="es-ES"/>
        </w:rPr>
        <w:t>F</w:t>
      </w:r>
      <w:r w:rsidR="00D60829" w:rsidRPr="006E5133">
        <w:rPr>
          <w:rFonts w:ascii="Lucida Sans" w:hAnsi="Lucida Sans"/>
          <w:color w:val="231F20"/>
          <w:w w:val="90"/>
          <w:sz w:val="15"/>
          <w:lang w:val="es-ES"/>
        </w:rPr>
        <w:t>armacoepidemiología y Farmacoeconomía, Departamento de Medicina, Brigham and Women's Hospital y Harvard Medical School, Boston</w:t>
      </w:r>
    </w:p>
    <w:p w14:paraId="2F1FD598" w14:textId="77777777" w:rsidR="007D680E" w:rsidRPr="006E5133" w:rsidRDefault="007D680E">
      <w:pPr>
        <w:pStyle w:val="Textoindependiente"/>
        <w:spacing w:before="3"/>
        <w:rPr>
          <w:rFonts w:ascii="Lucida Sans"/>
          <w:sz w:val="15"/>
          <w:lang w:val="es-ES"/>
        </w:rPr>
      </w:pPr>
    </w:p>
    <w:p w14:paraId="2F1FD599" w14:textId="6D2AE7C1" w:rsidR="007D680E" w:rsidRPr="006E5133" w:rsidRDefault="006E5133">
      <w:pPr>
        <w:spacing w:line="244" w:lineRule="auto"/>
        <w:ind w:left="199" w:right="159"/>
        <w:jc w:val="both"/>
        <w:rPr>
          <w:rFonts w:ascii="Lucida Sans"/>
          <w:sz w:val="15"/>
          <w:lang w:val="es-ES"/>
        </w:rPr>
      </w:pPr>
      <w:r w:rsidRPr="006E5133">
        <w:rPr>
          <w:rFonts w:ascii="Lucida Sans"/>
          <w:color w:val="231F20"/>
          <w:w w:val="90"/>
          <w:sz w:val="15"/>
          <w:lang w:val="es-ES"/>
        </w:rPr>
        <w:t>Este art</w:t>
      </w:r>
      <w:r w:rsidRPr="006E5133">
        <w:rPr>
          <w:rFonts w:ascii="Lucida Sans"/>
          <w:color w:val="231F20"/>
          <w:w w:val="90"/>
          <w:sz w:val="15"/>
          <w:lang w:val="es-ES"/>
        </w:rPr>
        <w:t>í</w:t>
      </w:r>
      <w:r w:rsidRPr="006E5133">
        <w:rPr>
          <w:rFonts w:ascii="Lucida Sans"/>
          <w:color w:val="231F20"/>
          <w:w w:val="90"/>
          <w:sz w:val="15"/>
          <w:lang w:val="es-ES"/>
        </w:rPr>
        <w:t xml:space="preserve">culo fue publicado el 14 de abril de 2020 en </w:t>
      </w:r>
      <w:r w:rsidR="00D34634" w:rsidRPr="006E5133">
        <w:rPr>
          <w:rFonts w:ascii="Lucida Sans"/>
          <w:color w:val="231F20"/>
          <w:w w:val="95"/>
          <w:sz w:val="15"/>
          <w:lang w:val="es-ES"/>
        </w:rPr>
        <w:t>NEJM.org.</w:t>
      </w:r>
    </w:p>
    <w:p w14:paraId="2F1FD59A" w14:textId="77777777" w:rsidR="007D680E" w:rsidRPr="006E5133" w:rsidRDefault="007D680E">
      <w:pPr>
        <w:pStyle w:val="Textoindependiente"/>
        <w:spacing w:before="9"/>
        <w:rPr>
          <w:rFonts w:ascii="Lucida Sans"/>
          <w:lang w:val="es-ES"/>
        </w:rPr>
      </w:pPr>
    </w:p>
    <w:p w14:paraId="2F1FD59B" w14:textId="77777777" w:rsidR="007D680E" w:rsidRPr="006E5133" w:rsidRDefault="00D34634">
      <w:pPr>
        <w:pStyle w:val="Prrafodelista"/>
        <w:numPr>
          <w:ilvl w:val="0"/>
          <w:numId w:val="1"/>
        </w:numPr>
        <w:tabs>
          <w:tab w:val="left" w:pos="440"/>
        </w:tabs>
        <w:spacing w:line="232" w:lineRule="auto"/>
        <w:ind w:right="161" w:firstLine="0"/>
        <w:rPr>
          <w:sz w:val="15"/>
          <w:lang w:val="es-ES"/>
        </w:rPr>
      </w:pPr>
      <w:r w:rsidRPr="00E07D4D">
        <w:rPr>
          <w:color w:val="231F20"/>
          <w:spacing w:val="2"/>
          <w:sz w:val="15"/>
        </w:rPr>
        <w:t>Kim</w:t>
      </w:r>
      <w:r w:rsidRPr="00E07D4D">
        <w:rPr>
          <w:color w:val="231F20"/>
          <w:spacing w:val="-6"/>
          <w:sz w:val="15"/>
        </w:rPr>
        <w:t xml:space="preserve"> </w:t>
      </w:r>
      <w:r w:rsidRPr="00E07D4D">
        <w:rPr>
          <w:color w:val="231F20"/>
          <w:sz w:val="15"/>
        </w:rPr>
        <w:t>AHJ,</w:t>
      </w:r>
      <w:r w:rsidRPr="00E07D4D">
        <w:rPr>
          <w:color w:val="231F20"/>
          <w:spacing w:val="-5"/>
          <w:sz w:val="15"/>
        </w:rPr>
        <w:t xml:space="preserve"> </w:t>
      </w:r>
      <w:r w:rsidRPr="00E07D4D">
        <w:rPr>
          <w:color w:val="231F20"/>
          <w:sz w:val="15"/>
        </w:rPr>
        <w:t>Sparks</w:t>
      </w:r>
      <w:r w:rsidRPr="00E07D4D">
        <w:rPr>
          <w:color w:val="231F20"/>
          <w:spacing w:val="-6"/>
          <w:sz w:val="15"/>
        </w:rPr>
        <w:t xml:space="preserve"> </w:t>
      </w:r>
      <w:r w:rsidRPr="00E07D4D">
        <w:rPr>
          <w:color w:val="231F20"/>
          <w:sz w:val="15"/>
        </w:rPr>
        <w:t>JA,</w:t>
      </w:r>
      <w:r w:rsidRPr="00E07D4D">
        <w:rPr>
          <w:color w:val="231F20"/>
          <w:spacing w:val="-5"/>
          <w:sz w:val="15"/>
        </w:rPr>
        <w:t xml:space="preserve"> </w:t>
      </w:r>
      <w:r w:rsidRPr="00E07D4D">
        <w:rPr>
          <w:color w:val="231F20"/>
          <w:sz w:val="15"/>
        </w:rPr>
        <w:t>Liew</w:t>
      </w:r>
      <w:r w:rsidRPr="00E07D4D">
        <w:rPr>
          <w:color w:val="231F20"/>
          <w:spacing w:val="-5"/>
          <w:sz w:val="15"/>
        </w:rPr>
        <w:t xml:space="preserve"> </w:t>
      </w:r>
      <w:r w:rsidRPr="00E07D4D">
        <w:rPr>
          <w:color w:val="231F20"/>
          <w:spacing w:val="-3"/>
          <w:sz w:val="15"/>
        </w:rPr>
        <w:t>JW,</w:t>
      </w:r>
      <w:r w:rsidRPr="00E07D4D">
        <w:rPr>
          <w:color w:val="231F20"/>
          <w:spacing w:val="-6"/>
          <w:sz w:val="15"/>
        </w:rPr>
        <w:t xml:space="preserve"> </w:t>
      </w:r>
      <w:r w:rsidRPr="00E07D4D">
        <w:rPr>
          <w:color w:val="231F20"/>
          <w:sz w:val="15"/>
        </w:rPr>
        <w:t>et</w:t>
      </w:r>
      <w:r w:rsidRPr="00E07D4D">
        <w:rPr>
          <w:color w:val="231F20"/>
          <w:spacing w:val="-5"/>
          <w:sz w:val="15"/>
        </w:rPr>
        <w:t xml:space="preserve"> </w:t>
      </w:r>
      <w:r w:rsidRPr="00E07D4D">
        <w:rPr>
          <w:color w:val="231F20"/>
          <w:sz w:val="15"/>
        </w:rPr>
        <w:t>al.</w:t>
      </w:r>
      <w:r w:rsidRPr="00E07D4D">
        <w:rPr>
          <w:color w:val="231F20"/>
          <w:spacing w:val="-6"/>
          <w:sz w:val="15"/>
        </w:rPr>
        <w:t xml:space="preserve"> </w:t>
      </w:r>
      <w:r w:rsidRPr="00E07D4D">
        <w:rPr>
          <w:color w:val="231F20"/>
          <w:sz w:val="15"/>
        </w:rPr>
        <w:t xml:space="preserve">A </w:t>
      </w:r>
      <w:r w:rsidRPr="00E07D4D">
        <w:rPr>
          <w:color w:val="231F20"/>
          <w:w w:val="95"/>
          <w:sz w:val="15"/>
        </w:rPr>
        <w:t>rush</w:t>
      </w:r>
      <w:r w:rsidRPr="00E07D4D">
        <w:rPr>
          <w:color w:val="231F20"/>
          <w:spacing w:val="-5"/>
          <w:w w:val="95"/>
          <w:sz w:val="15"/>
        </w:rPr>
        <w:t xml:space="preserve"> </w:t>
      </w:r>
      <w:r w:rsidRPr="00E07D4D">
        <w:rPr>
          <w:color w:val="231F20"/>
          <w:w w:val="95"/>
          <w:sz w:val="15"/>
        </w:rPr>
        <w:t>to</w:t>
      </w:r>
      <w:r w:rsidRPr="00E07D4D">
        <w:rPr>
          <w:color w:val="231F20"/>
          <w:spacing w:val="-5"/>
          <w:w w:val="95"/>
          <w:sz w:val="15"/>
        </w:rPr>
        <w:t xml:space="preserve"> </w:t>
      </w:r>
      <w:r w:rsidRPr="00E07D4D">
        <w:rPr>
          <w:color w:val="231F20"/>
          <w:w w:val="95"/>
          <w:sz w:val="15"/>
        </w:rPr>
        <w:t>judgment?</w:t>
      </w:r>
      <w:r w:rsidRPr="00E07D4D">
        <w:rPr>
          <w:color w:val="231F20"/>
          <w:spacing w:val="-4"/>
          <w:w w:val="95"/>
          <w:sz w:val="15"/>
        </w:rPr>
        <w:t xml:space="preserve"> </w:t>
      </w:r>
      <w:r w:rsidRPr="00E07D4D">
        <w:rPr>
          <w:color w:val="231F20"/>
          <w:w w:val="95"/>
          <w:sz w:val="15"/>
        </w:rPr>
        <w:t>Rapid</w:t>
      </w:r>
      <w:r w:rsidRPr="00E07D4D">
        <w:rPr>
          <w:color w:val="231F20"/>
          <w:spacing w:val="-5"/>
          <w:w w:val="95"/>
          <w:sz w:val="15"/>
        </w:rPr>
        <w:t xml:space="preserve"> </w:t>
      </w:r>
      <w:r w:rsidRPr="00E07D4D">
        <w:rPr>
          <w:color w:val="231F20"/>
          <w:w w:val="95"/>
          <w:sz w:val="15"/>
        </w:rPr>
        <w:t>reporting</w:t>
      </w:r>
      <w:r w:rsidRPr="00E07D4D">
        <w:rPr>
          <w:color w:val="231F20"/>
          <w:spacing w:val="-5"/>
          <w:w w:val="95"/>
          <w:sz w:val="15"/>
        </w:rPr>
        <w:t xml:space="preserve"> </w:t>
      </w:r>
      <w:r w:rsidRPr="00E07D4D">
        <w:rPr>
          <w:color w:val="231F20"/>
          <w:w w:val="95"/>
          <w:sz w:val="15"/>
        </w:rPr>
        <w:t>and</w:t>
      </w:r>
      <w:r w:rsidRPr="00E07D4D">
        <w:rPr>
          <w:color w:val="231F20"/>
          <w:spacing w:val="-4"/>
          <w:w w:val="95"/>
          <w:sz w:val="15"/>
        </w:rPr>
        <w:t xml:space="preserve"> </w:t>
      </w:r>
      <w:r w:rsidRPr="00E07D4D">
        <w:rPr>
          <w:color w:val="231F20"/>
          <w:w w:val="95"/>
          <w:sz w:val="15"/>
        </w:rPr>
        <w:t xml:space="preserve">dis- </w:t>
      </w:r>
      <w:r w:rsidRPr="00E07D4D">
        <w:rPr>
          <w:color w:val="231F20"/>
          <w:sz w:val="15"/>
        </w:rPr>
        <w:t>semination</w:t>
      </w:r>
      <w:r w:rsidRPr="00E07D4D">
        <w:rPr>
          <w:color w:val="231F20"/>
          <w:spacing w:val="-18"/>
          <w:sz w:val="15"/>
        </w:rPr>
        <w:t xml:space="preserve"> </w:t>
      </w:r>
      <w:r w:rsidRPr="00E07D4D">
        <w:rPr>
          <w:color w:val="231F20"/>
          <w:sz w:val="15"/>
        </w:rPr>
        <w:t>of</w:t>
      </w:r>
      <w:r w:rsidRPr="00E07D4D">
        <w:rPr>
          <w:color w:val="231F20"/>
          <w:spacing w:val="-17"/>
          <w:sz w:val="15"/>
        </w:rPr>
        <w:t xml:space="preserve"> </w:t>
      </w:r>
      <w:r w:rsidRPr="00E07D4D">
        <w:rPr>
          <w:color w:val="231F20"/>
          <w:sz w:val="15"/>
        </w:rPr>
        <w:t>results</w:t>
      </w:r>
      <w:r w:rsidRPr="00E07D4D">
        <w:rPr>
          <w:color w:val="231F20"/>
          <w:spacing w:val="-17"/>
          <w:sz w:val="15"/>
        </w:rPr>
        <w:t xml:space="preserve"> </w:t>
      </w:r>
      <w:r w:rsidRPr="00E07D4D">
        <w:rPr>
          <w:color w:val="231F20"/>
          <w:sz w:val="15"/>
        </w:rPr>
        <w:t>and</w:t>
      </w:r>
      <w:r w:rsidRPr="00E07D4D">
        <w:rPr>
          <w:color w:val="231F20"/>
          <w:spacing w:val="-17"/>
          <w:sz w:val="15"/>
        </w:rPr>
        <w:t xml:space="preserve"> </w:t>
      </w:r>
      <w:r w:rsidRPr="00E07D4D">
        <w:rPr>
          <w:color w:val="231F20"/>
          <w:sz w:val="15"/>
        </w:rPr>
        <w:t>its</w:t>
      </w:r>
      <w:r w:rsidRPr="00E07D4D">
        <w:rPr>
          <w:color w:val="231F20"/>
          <w:spacing w:val="-17"/>
          <w:sz w:val="15"/>
        </w:rPr>
        <w:t xml:space="preserve"> </w:t>
      </w:r>
      <w:r w:rsidRPr="00E07D4D">
        <w:rPr>
          <w:color w:val="231F20"/>
          <w:sz w:val="15"/>
        </w:rPr>
        <w:t xml:space="preserve">consequences </w:t>
      </w:r>
      <w:r w:rsidRPr="00E07D4D">
        <w:rPr>
          <w:color w:val="231F20"/>
          <w:w w:val="95"/>
          <w:sz w:val="15"/>
        </w:rPr>
        <w:t>regarding</w:t>
      </w:r>
      <w:r w:rsidRPr="00E07D4D">
        <w:rPr>
          <w:color w:val="231F20"/>
          <w:spacing w:val="-18"/>
          <w:w w:val="95"/>
          <w:sz w:val="15"/>
        </w:rPr>
        <w:t xml:space="preserve"> </w:t>
      </w:r>
      <w:r w:rsidRPr="00E07D4D">
        <w:rPr>
          <w:color w:val="231F20"/>
          <w:w w:val="95"/>
          <w:sz w:val="15"/>
        </w:rPr>
        <w:t>the</w:t>
      </w:r>
      <w:r w:rsidRPr="00E07D4D">
        <w:rPr>
          <w:color w:val="231F20"/>
          <w:spacing w:val="-18"/>
          <w:w w:val="95"/>
          <w:sz w:val="15"/>
        </w:rPr>
        <w:t xml:space="preserve"> </w:t>
      </w:r>
      <w:r w:rsidRPr="00E07D4D">
        <w:rPr>
          <w:color w:val="231F20"/>
          <w:w w:val="95"/>
          <w:sz w:val="15"/>
        </w:rPr>
        <w:t>use</w:t>
      </w:r>
      <w:r w:rsidRPr="00E07D4D">
        <w:rPr>
          <w:color w:val="231F20"/>
          <w:spacing w:val="-18"/>
          <w:w w:val="95"/>
          <w:sz w:val="15"/>
        </w:rPr>
        <w:t xml:space="preserve"> </w:t>
      </w:r>
      <w:r w:rsidRPr="00E07D4D">
        <w:rPr>
          <w:color w:val="231F20"/>
          <w:w w:val="95"/>
          <w:sz w:val="15"/>
        </w:rPr>
        <w:t>of</w:t>
      </w:r>
      <w:r w:rsidRPr="00E07D4D">
        <w:rPr>
          <w:color w:val="231F20"/>
          <w:spacing w:val="-18"/>
          <w:w w:val="95"/>
          <w:sz w:val="15"/>
        </w:rPr>
        <w:t xml:space="preserve"> </w:t>
      </w:r>
      <w:r w:rsidRPr="00E07D4D">
        <w:rPr>
          <w:color w:val="231F20"/>
          <w:w w:val="95"/>
          <w:sz w:val="15"/>
        </w:rPr>
        <w:t>hydroxychloroquine</w:t>
      </w:r>
      <w:r w:rsidRPr="00E07D4D">
        <w:rPr>
          <w:color w:val="231F20"/>
          <w:spacing w:val="-17"/>
          <w:w w:val="95"/>
          <w:sz w:val="15"/>
        </w:rPr>
        <w:t xml:space="preserve"> </w:t>
      </w:r>
      <w:r w:rsidRPr="00E07D4D">
        <w:rPr>
          <w:color w:val="231F20"/>
          <w:w w:val="95"/>
          <w:sz w:val="15"/>
        </w:rPr>
        <w:t xml:space="preserve">for </w:t>
      </w:r>
      <w:r w:rsidRPr="00E07D4D">
        <w:rPr>
          <w:color w:val="231F20"/>
          <w:sz w:val="15"/>
        </w:rPr>
        <w:t>COVID-19.</w:t>
      </w:r>
      <w:r w:rsidRPr="00E07D4D">
        <w:rPr>
          <w:color w:val="231F20"/>
          <w:spacing w:val="-19"/>
          <w:sz w:val="15"/>
        </w:rPr>
        <w:t xml:space="preserve"> </w:t>
      </w:r>
      <w:r w:rsidRPr="006E5133">
        <w:rPr>
          <w:color w:val="231F20"/>
          <w:spacing w:val="2"/>
          <w:sz w:val="15"/>
          <w:lang w:val="es-ES"/>
        </w:rPr>
        <w:t>Ann</w:t>
      </w:r>
      <w:r w:rsidRPr="006E5133">
        <w:rPr>
          <w:color w:val="231F20"/>
          <w:spacing w:val="-18"/>
          <w:sz w:val="15"/>
          <w:lang w:val="es-ES"/>
        </w:rPr>
        <w:t xml:space="preserve"> </w:t>
      </w:r>
      <w:r w:rsidRPr="006E5133">
        <w:rPr>
          <w:color w:val="231F20"/>
          <w:sz w:val="15"/>
          <w:lang w:val="es-ES"/>
        </w:rPr>
        <w:t>Intern</w:t>
      </w:r>
      <w:r w:rsidRPr="006E5133">
        <w:rPr>
          <w:color w:val="231F20"/>
          <w:spacing w:val="-18"/>
          <w:sz w:val="15"/>
          <w:lang w:val="es-ES"/>
        </w:rPr>
        <w:t xml:space="preserve"> </w:t>
      </w:r>
      <w:r w:rsidRPr="006E5133">
        <w:rPr>
          <w:color w:val="231F20"/>
          <w:sz w:val="15"/>
          <w:lang w:val="es-ES"/>
        </w:rPr>
        <w:t>Med</w:t>
      </w:r>
      <w:r w:rsidRPr="006E5133">
        <w:rPr>
          <w:color w:val="231F20"/>
          <w:spacing w:val="-18"/>
          <w:sz w:val="15"/>
          <w:lang w:val="es-ES"/>
        </w:rPr>
        <w:t xml:space="preserve"> </w:t>
      </w:r>
      <w:r w:rsidRPr="006E5133">
        <w:rPr>
          <w:color w:val="231F20"/>
          <w:spacing w:val="-3"/>
          <w:sz w:val="15"/>
          <w:lang w:val="es-ES"/>
        </w:rPr>
        <w:t>2020</w:t>
      </w:r>
      <w:r w:rsidRPr="006E5133">
        <w:rPr>
          <w:color w:val="231F20"/>
          <w:spacing w:val="-19"/>
          <w:sz w:val="15"/>
          <w:lang w:val="es-ES"/>
        </w:rPr>
        <w:t xml:space="preserve"> </w:t>
      </w:r>
      <w:r w:rsidRPr="006E5133">
        <w:rPr>
          <w:color w:val="231F20"/>
          <w:sz w:val="15"/>
          <w:lang w:val="es-ES"/>
        </w:rPr>
        <w:t>March</w:t>
      </w:r>
      <w:r w:rsidRPr="006E5133">
        <w:rPr>
          <w:color w:val="231F20"/>
          <w:spacing w:val="-18"/>
          <w:sz w:val="15"/>
          <w:lang w:val="es-ES"/>
        </w:rPr>
        <w:t xml:space="preserve"> </w:t>
      </w:r>
      <w:r w:rsidRPr="006E5133">
        <w:rPr>
          <w:color w:val="231F20"/>
          <w:sz w:val="15"/>
          <w:lang w:val="es-ES"/>
        </w:rPr>
        <w:t>30 (Epub ahead of</w:t>
      </w:r>
      <w:r w:rsidRPr="006E5133">
        <w:rPr>
          <w:color w:val="231F20"/>
          <w:spacing w:val="-4"/>
          <w:sz w:val="15"/>
          <w:lang w:val="es-ES"/>
        </w:rPr>
        <w:t xml:space="preserve"> </w:t>
      </w:r>
      <w:r w:rsidRPr="006E5133">
        <w:rPr>
          <w:color w:val="231F20"/>
          <w:sz w:val="15"/>
          <w:lang w:val="es-ES"/>
        </w:rPr>
        <w:t>print).</w:t>
      </w:r>
    </w:p>
    <w:p w14:paraId="2F1FD59C" w14:textId="77777777" w:rsidR="007D680E" w:rsidRPr="006E5133" w:rsidRDefault="00D34634">
      <w:pPr>
        <w:pStyle w:val="Prrafodelista"/>
        <w:numPr>
          <w:ilvl w:val="0"/>
          <w:numId w:val="1"/>
        </w:numPr>
        <w:tabs>
          <w:tab w:val="left" w:pos="440"/>
        </w:tabs>
        <w:spacing w:line="232" w:lineRule="auto"/>
        <w:ind w:firstLine="0"/>
        <w:rPr>
          <w:sz w:val="15"/>
          <w:lang w:val="es-ES"/>
        </w:rPr>
      </w:pPr>
      <w:r w:rsidRPr="00E07D4D">
        <w:rPr>
          <w:color w:val="231F20"/>
          <w:w w:val="95"/>
          <w:sz w:val="15"/>
        </w:rPr>
        <w:t xml:space="preserve">Pavia </w:t>
      </w:r>
      <w:r w:rsidRPr="00E07D4D">
        <w:rPr>
          <w:color w:val="231F20"/>
          <w:spacing w:val="-4"/>
          <w:w w:val="95"/>
          <w:sz w:val="15"/>
        </w:rPr>
        <w:t xml:space="preserve">AT. </w:t>
      </w:r>
      <w:r w:rsidRPr="00E07D4D">
        <w:rPr>
          <w:color w:val="231F20"/>
          <w:w w:val="95"/>
          <w:sz w:val="15"/>
        </w:rPr>
        <w:t xml:space="preserve">Editorial commentary: what </w:t>
      </w:r>
      <w:r w:rsidRPr="00E07D4D">
        <w:rPr>
          <w:color w:val="231F20"/>
          <w:sz w:val="15"/>
        </w:rPr>
        <w:t xml:space="preserve">did we learn from the emergency use au- </w:t>
      </w:r>
      <w:r w:rsidRPr="00E07D4D">
        <w:rPr>
          <w:color w:val="231F20"/>
          <w:w w:val="95"/>
          <w:sz w:val="15"/>
        </w:rPr>
        <w:t>thorization</w:t>
      </w:r>
      <w:r w:rsidRPr="00E07D4D">
        <w:rPr>
          <w:color w:val="231F20"/>
          <w:spacing w:val="-7"/>
          <w:w w:val="95"/>
          <w:sz w:val="15"/>
        </w:rPr>
        <w:t xml:space="preserve"> </w:t>
      </w:r>
      <w:r w:rsidRPr="00E07D4D">
        <w:rPr>
          <w:color w:val="231F20"/>
          <w:w w:val="95"/>
          <w:sz w:val="15"/>
        </w:rPr>
        <w:t>of</w:t>
      </w:r>
      <w:r w:rsidRPr="00E07D4D">
        <w:rPr>
          <w:color w:val="231F20"/>
          <w:spacing w:val="-6"/>
          <w:w w:val="95"/>
          <w:sz w:val="15"/>
        </w:rPr>
        <w:t xml:space="preserve"> </w:t>
      </w:r>
      <w:r w:rsidRPr="00E07D4D">
        <w:rPr>
          <w:color w:val="231F20"/>
          <w:w w:val="95"/>
          <w:sz w:val="15"/>
        </w:rPr>
        <w:t>peramivir</w:t>
      </w:r>
      <w:r w:rsidRPr="00E07D4D">
        <w:rPr>
          <w:color w:val="231F20"/>
          <w:spacing w:val="-7"/>
          <w:w w:val="95"/>
          <w:sz w:val="15"/>
        </w:rPr>
        <w:t xml:space="preserve"> </w:t>
      </w:r>
      <w:r w:rsidRPr="00E07D4D">
        <w:rPr>
          <w:color w:val="231F20"/>
          <w:w w:val="95"/>
          <w:sz w:val="15"/>
        </w:rPr>
        <w:t>in</w:t>
      </w:r>
      <w:r w:rsidRPr="00E07D4D">
        <w:rPr>
          <w:color w:val="231F20"/>
          <w:spacing w:val="-6"/>
          <w:w w:val="95"/>
          <w:sz w:val="15"/>
        </w:rPr>
        <w:t xml:space="preserve"> </w:t>
      </w:r>
      <w:r w:rsidRPr="00E07D4D">
        <w:rPr>
          <w:color w:val="231F20"/>
          <w:w w:val="95"/>
          <w:sz w:val="15"/>
        </w:rPr>
        <w:t>2009?</w:t>
      </w:r>
      <w:r w:rsidRPr="00E07D4D">
        <w:rPr>
          <w:color w:val="231F20"/>
          <w:spacing w:val="-7"/>
          <w:w w:val="95"/>
          <w:sz w:val="15"/>
        </w:rPr>
        <w:t xml:space="preserve"> </w:t>
      </w:r>
      <w:r w:rsidRPr="006E5133">
        <w:rPr>
          <w:color w:val="231F20"/>
          <w:w w:val="95"/>
          <w:sz w:val="15"/>
          <w:lang w:val="es-ES"/>
        </w:rPr>
        <w:t>Clin</w:t>
      </w:r>
      <w:r w:rsidRPr="006E5133">
        <w:rPr>
          <w:color w:val="231F20"/>
          <w:spacing w:val="-6"/>
          <w:w w:val="95"/>
          <w:sz w:val="15"/>
          <w:lang w:val="es-ES"/>
        </w:rPr>
        <w:t xml:space="preserve"> </w:t>
      </w:r>
      <w:r w:rsidRPr="006E5133">
        <w:rPr>
          <w:color w:val="231F20"/>
          <w:w w:val="95"/>
          <w:sz w:val="15"/>
          <w:lang w:val="es-ES"/>
        </w:rPr>
        <w:t xml:space="preserve">Infect </w:t>
      </w:r>
      <w:r w:rsidRPr="006E5133">
        <w:rPr>
          <w:color w:val="231F20"/>
          <w:sz w:val="15"/>
          <w:lang w:val="es-ES"/>
        </w:rPr>
        <w:t>Dis</w:t>
      </w:r>
      <w:r w:rsidRPr="006E5133">
        <w:rPr>
          <w:color w:val="231F20"/>
          <w:spacing w:val="2"/>
          <w:sz w:val="15"/>
          <w:lang w:val="es-ES"/>
        </w:rPr>
        <w:t xml:space="preserve"> </w:t>
      </w:r>
      <w:r w:rsidRPr="006E5133">
        <w:rPr>
          <w:color w:val="231F20"/>
          <w:spacing w:val="-3"/>
          <w:sz w:val="15"/>
          <w:lang w:val="es-ES"/>
        </w:rPr>
        <w:t>2012;55:16-8.</w:t>
      </w:r>
    </w:p>
    <w:p w14:paraId="2F1FD59D" w14:textId="77777777" w:rsidR="007D680E" w:rsidRPr="006E5133" w:rsidRDefault="00D34634">
      <w:pPr>
        <w:pStyle w:val="Prrafodelista"/>
        <w:numPr>
          <w:ilvl w:val="0"/>
          <w:numId w:val="1"/>
        </w:numPr>
        <w:tabs>
          <w:tab w:val="left" w:pos="440"/>
        </w:tabs>
        <w:spacing w:line="232" w:lineRule="auto"/>
        <w:ind w:firstLine="0"/>
        <w:rPr>
          <w:sz w:val="15"/>
          <w:lang w:val="es-ES"/>
        </w:rPr>
      </w:pPr>
      <w:r w:rsidRPr="00E07D4D">
        <w:rPr>
          <w:color w:val="231F20"/>
          <w:w w:val="95"/>
          <w:sz w:val="15"/>
        </w:rPr>
        <w:t>Downing</w:t>
      </w:r>
      <w:r w:rsidRPr="00E07D4D">
        <w:rPr>
          <w:color w:val="231F20"/>
          <w:spacing w:val="-16"/>
          <w:w w:val="95"/>
          <w:sz w:val="15"/>
        </w:rPr>
        <w:t xml:space="preserve"> </w:t>
      </w:r>
      <w:r w:rsidRPr="00E07D4D">
        <w:rPr>
          <w:color w:val="231F20"/>
          <w:spacing w:val="-2"/>
          <w:w w:val="95"/>
          <w:sz w:val="15"/>
        </w:rPr>
        <w:t>NS,</w:t>
      </w:r>
      <w:r w:rsidRPr="00E07D4D">
        <w:rPr>
          <w:color w:val="231F20"/>
          <w:spacing w:val="-15"/>
          <w:w w:val="95"/>
          <w:sz w:val="15"/>
        </w:rPr>
        <w:t xml:space="preserve"> </w:t>
      </w:r>
      <w:r w:rsidRPr="00E07D4D">
        <w:rPr>
          <w:color w:val="231F20"/>
          <w:w w:val="95"/>
          <w:sz w:val="15"/>
        </w:rPr>
        <w:t>Aminawung</w:t>
      </w:r>
      <w:r w:rsidRPr="00E07D4D">
        <w:rPr>
          <w:color w:val="231F20"/>
          <w:spacing w:val="-15"/>
          <w:w w:val="95"/>
          <w:sz w:val="15"/>
        </w:rPr>
        <w:t xml:space="preserve"> </w:t>
      </w:r>
      <w:r w:rsidRPr="00E07D4D">
        <w:rPr>
          <w:color w:val="231F20"/>
          <w:w w:val="95"/>
          <w:sz w:val="15"/>
        </w:rPr>
        <w:t>JA,</w:t>
      </w:r>
      <w:r w:rsidRPr="00E07D4D">
        <w:rPr>
          <w:color w:val="231F20"/>
          <w:spacing w:val="-15"/>
          <w:w w:val="95"/>
          <w:sz w:val="15"/>
        </w:rPr>
        <w:t xml:space="preserve"> </w:t>
      </w:r>
      <w:r w:rsidRPr="00E07D4D">
        <w:rPr>
          <w:color w:val="231F20"/>
          <w:w w:val="95"/>
          <w:sz w:val="15"/>
        </w:rPr>
        <w:t>Shah</w:t>
      </w:r>
      <w:r w:rsidRPr="00E07D4D">
        <w:rPr>
          <w:color w:val="231F20"/>
          <w:spacing w:val="-15"/>
          <w:w w:val="95"/>
          <w:sz w:val="15"/>
        </w:rPr>
        <w:t xml:space="preserve"> </w:t>
      </w:r>
      <w:r w:rsidRPr="00E07D4D">
        <w:rPr>
          <w:color w:val="231F20"/>
          <w:w w:val="95"/>
          <w:sz w:val="15"/>
        </w:rPr>
        <w:t>ND, Braunstein JB, Krumholz HM, Ross JS.</w:t>
      </w:r>
      <w:r w:rsidRPr="00E07D4D">
        <w:rPr>
          <w:color w:val="231F20"/>
          <w:spacing w:val="-21"/>
          <w:w w:val="95"/>
          <w:sz w:val="15"/>
        </w:rPr>
        <w:t xml:space="preserve"> </w:t>
      </w:r>
      <w:r w:rsidRPr="00E07D4D">
        <w:rPr>
          <w:color w:val="231F20"/>
          <w:w w:val="95"/>
          <w:sz w:val="15"/>
        </w:rPr>
        <w:t>Reg- ulatory</w:t>
      </w:r>
      <w:r w:rsidRPr="00E07D4D">
        <w:rPr>
          <w:color w:val="231F20"/>
          <w:spacing w:val="-16"/>
          <w:w w:val="95"/>
          <w:sz w:val="15"/>
        </w:rPr>
        <w:t xml:space="preserve"> </w:t>
      </w:r>
      <w:r w:rsidRPr="00E07D4D">
        <w:rPr>
          <w:color w:val="231F20"/>
          <w:w w:val="95"/>
          <w:sz w:val="15"/>
        </w:rPr>
        <w:t>review</w:t>
      </w:r>
      <w:r w:rsidRPr="00E07D4D">
        <w:rPr>
          <w:color w:val="231F20"/>
          <w:spacing w:val="-15"/>
          <w:w w:val="95"/>
          <w:sz w:val="15"/>
        </w:rPr>
        <w:t xml:space="preserve"> </w:t>
      </w:r>
      <w:r w:rsidRPr="00E07D4D">
        <w:rPr>
          <w:color w:val="231F20"/>
          <w:w w:val="95"/>
          <w:sz w:val="15"/>
        </w:rPr>
        <w:t>of</w:t>
      </w:r>
      <w:r w:rsidRPr="00E07D4D">
        <w:rPr>
          <w:color w:val="231F20"/>
          <w:spacing w:val="-15"/>
          <w:w w:val="95"/>
          <w:sz w:val="15"/>
        </w:rPr>
        <w:t xml:space="preserve"> </w:t>
      </w:r>
      <w:r w:rsidRPr="00E07D4D">
        <w:rPr>
          <w:color w:val="231F20"/>
          <w:w w:val="95"/>
          <w:sz w:val="15"/>
        </w:rPr>
        <w:t>novel</w:t>
      </w:r>
      <w:r w:rsidRPr="00E07D4D">
        <w:rPr>
          <w:color w:val="231F20"/>
          <w:spacing w:val="-15"/>
          <w:w w:val="95"/>
          <w:sz w:val="15"/>
        </w:rPr>
        <w:t xml:space="preserve"> </w:t>
      </w:r>
      <w:r w:rsidRPr="00E07D4D">
        <w:rPr>
          <w:color w:val="231F20"/>
          <w:w w:val="95"/>
          <w:sz w:val="15"/>
        </w:rPr>
        <w:t>therapeutics</w:t>
      </w:r>
      <w:r w:rsidRPr="00E07D4D">
        <w:rPr>
          <w:color w:val="231F20"/>
          <w:spacing w:val="-15"/>
          <w:w w:val="95"/>
          <w:sz w:val="15"/>
        </w:rPr>
        <w:t xml:space="preserve"> </w:t>
      </w:r>
      <w:r w:rsidRPr="00E07D4D">
        <w:rPr>
          <w:color w:val="231F20"/>
          <w:w w:val="95"/>
          <w:sz w:val="15"/>
        </w:rPr>
        <w:t>—</w:t>
      </w:r>
      <w:r w:rsidRPr="00E07D4D">
        <w:rPr>
          <w:color w:val="231F20"/>
          <w:spacing w:val="-15"/>
          <w:w w:val="95"/>
          <w:sz w:val="15"/>
        </w:rPr>
        <w:t xml:space="preserve"> </w:t>
      </w:r>
      <w:r w:rsidRPr="00E07D4D">
        <w:rPr>
          <w:color w:val="231F20"/>
          <w:w w:val="95"/>
          <w:sz w:val="15"/>
        </w:rPr>
        <w:t>com- parison</w:t>
      </w:r>
      <w:r w:rsidRPr="00E07D4D">
        <w:rPr>
          <w:color w:val="231F20"/>
          <w:spacing w:val="-11"/>
          <w:w w:val="95"/>
          <w:sz w:val="15"/>
        </w:rPr>
        <w:t xml:space="preserve"> </w:t>
      </w:r>
      <w:r w:rsidRPr="00E07D4D">
        <w:rPr>
          <w:color w:val="231F20"/>
          <w:w w:val="95"/>
          <w:sz w:val="15"/>
        </w:rPr>
        <w:t>of</w:t>
      </w:r>
      <w:r w:rsidRPr="00E07D4D">
        <w:rPr>
          <w:color w:val="231F20"/>
          <w:spacing w:val="-10"/>
          <w:w w:val="95"/>
          <w:sz w:val="15"/>
        </w:rPr>
        <w:t xml:space="preserve"> </w:t>
      </w:r>
      <w:r w:rsidRPr="00E07D4D">
        <w:rPr>
          <w:color w:val="231F20"/>
          <w:w w:val="95"/>
          <w:sz w:val="15"/>
        </w:rPr>
        <w:t>three</w:t>
      </w:r>
      <w:r w:rsidRPr="00E07D4D">
        <w:rPr>
          <w:color w:val="231F20"/>
          <w:spacing w:val="-10"/>
          <w:w w:val="95"/>
          <w:sz w:val="15"/>
        </w:rPr>
        <w:t xml:space="preserve"> </w:t>
      </w:r>
      <w:r w:rsidRPr="00E07D4D">
        <w:rPr>
          <w:color w:val="231F20"/>
          <w:w w:val="95"/>
          <w:sz w:val="15"/>
        </w:rPr>
        <w:t>regulatory</w:t>
      </w:r>
      <w:r w:rsidRPr="00E07D4D">
        <w:rPr>
          <w:color w:val="231F20"/>
          <w:spacing w:val="-10"/>
          <w:w w:val="95"/>
          <w:sz w:val="15"/>
        </w:rPr>
        <w:t xml:space="preserve"> </w:t>
      </w:r>
      <w:r w:rsidRPr="00E07D4D">
        <w:rPr>
          <w:color w:val="231F20"/>
          <w:w w:val="95"/>
          <w:sz w:val="15"/>
        </w:rPr>
        <w:t>agencies.</w:t>
      </w:r>
      <w:r w:rsidRPr="00E07D4D">
        <w:rPr>
          <w:color w:val="231F20"/>
          <w:spacing w:val="-10"/>
          <w:w w:val="95"/>
          <w:sz w:val="15"/>
        </w:rPr>
        <w:t xml:space="preserve"> </w:t>
      </w:r>
      <w:r w:rsidRPr="006E5133">
        <w:rPr>
          <w:color w:val="231F20"/>
          <w:w w:val="95"/>
          <w:sz w:val="15"/>
          <w:lang w:val="es-ES"/>
        </w:rPr>
        <w:t>N</w:t>
      </w:r>
      <w:r w:rsidRPr="006E5133">
        <w:rPr>
          <w:color w:val="231F20"/>
          <w:spacing w:val="-10"/>
          <w:w w:val="95"/>
          <w:sz w:val="15"/>
          <w:lang w:val="es-ES"/>
        </w:rPr>
        <w:t xml:space="preserve"> </w:t>
      </w:r>
      <w:r w:rsidRPr="006E5133">
        <w:rPr>
          <w:color w:val="231F20"/>
          <w:w w:val="95"/>
          <w:sz w:val="15"/>
          <w:lang w:val="es-ES"/>
        </w:rPr>
        <w:t xml:space="preserve">Engl </w:t>
      </w:r>
      <w:r w:rsidRPr="006E5133">
        <w:rPr>
          <w:color w:val="231F20"/>
          <w:sz w:val="15"/>
          <w:lang w:val="es-ES"/>
        </w:rPr>
        <w:t>J Med 2012;366:2284-93.</w:t>
      </w:r>
    </w:p>
    <w:p w14:paraId="2F1FD59E" w14:textId="77777777" w:rsidR="007D680E" w:rsidRPr="006E5133" w:rsidRDefault="00D34634">
      <w:pPr>
        <w:pStyle w:val="Prrafodelista"/>
        <w:numPr>
          <w:ilvl w:val="0"/>
          <w:numId w:val="1"/>
        </w:numPr>
        <w:tabs>
          <w:tab w:val="left" w:pos="440"/>
        </w:tabs>
        <w:spacing w:line="232" w:lineRule="auto"/>
        <w:ind w:firstLine="0"/>
        <w:rPr>
          <w:sz w:val="15"/>
          <w:lang w:val="es-ES"/>
        </w:rPr>
      </w:pPr>
      <w:r w:rsidRPr="00E07D4D">
        <w:rPr>
          <w:color w:val="231F20"/>
          <w:w w:val="95"/>
          <w:sz w:val="15"/>
        </w:rPr>
        <w:t>Darrow</w:t>
      </w:r>
      <w:r w:rsidRPr="00E07D4D">
        <w:rPr>
          <w:color w:val="231F20"/>
          <w:spacing w:val="-12"/>
          <w:w w:val="95"/>
          <w:sz w:val="15"/>
        </w:rPr>
        <w:t xml:space="preserve"> </w:t>
      </w:r>
      <w:r w:rsidRPr="00E07D4D">
        <w:rPr>
          <w:color w:val="231F20"/>
          <w:w w:val="95"/>
          <w:sz w:val="15"/>
        </w:rPr>
        <w:t>JJ,</w:t>
      </w:r>
      <w:r w:rsidRPr="00E07D4D">
        <w:rPr>
          <w:color w:val="231F20"/>
          <w:spacing w:val="-12"/>
          <w:w w:val="95"/>
          <w:sz w:val="15"/>
        </w:rPr>
        <w:t xml:space="preserve"> </w:t>
      </w:r>
      <w:r w:rsidRPr="00E07D4D">
        <w:rPr>
          <w:color w:val="231F20"/>
          <w:w w:val="95"/>
          <w:sz w:val="15"/>
        </w:rPr>
        <w:t>Avorn</w:t>
      </w:r>
      <w:r w:rsidRPr="00E07D4D">
        <w:rPr>
          <w:color w:val="231F20"/>
          <w:spacing w:val="-12"/>
          <w:w w:val="95"/>
          <w:sz w:val="15"/>
        </w:rPr>
        <w:t xml:space="preserve"> </w:t>
      </w:r>
      <w:r w:rsidRPr="00E07D4D">
        <w:rPr>
          <w:color w:val="231F20"/>
          <w:w w:val="95"/>
          <w:sz w:val="15"/>
        </w:rPr>
        <w:t>J,</w:t>
      </w:r>
      <w:r w:rsidRPr="00E07D4D">
        <w:rPr>
          <w:color w:val="231F20"/>
          <w:spacing w:val="-12"/>
          <w:w w:val="95"/>
          <w:sz w:val="15"/>
        </w:rPr>
        <w:t xml:space="preserve"> </w:t>
      </w:r>
      <w:r w:rsidRPr="00E07D4D">
        <w:rPr>
          <w:color w:val="231F20"/>
          <w:w w:val="95"/>
          <w:sz w:val="15"/>
        </w:rPr>
        <w:t>Kesselheim</w:t>
      </w:r>
      <w:r w:rsidRPr="00E07D4D">
        <w:rPr>
          <w:color w:val="231F20"/>
          <w:spacing w:val="-12"/>
          <w:w w:val="95"/>
          <w:sz w:val="15"/>
        </w:rPr>
        <w:t xml:space="preserve"> </w:t>
      </w:r>
      <w:r w:rsidRPr="00E07D4D">
        <w:rPr>
          <w:color w:val="231F20"/>
          <w:w w:val="95"/>
          <w:sz w:val="15"/>
        </w:rPr>
        <w:t>AS.</w:t>
      </w:r>
      <w:r w:rsidRPr="00E07D4D">
        <w:rPr>
          <w:color w:val="231F20"/>
          <w:spacing w:val="-12"/>
          <w:w w:val="95"/>
          <w:sz w:val="15"/>
        </w:rPr>
        <w:t xml:space="preserve"> </w:t>
      </w:r>
      <w:r w:rsidRPr="00E07D4D">
        <w:rPr>
          <w:color w:val="231F20"/>
          <w:spacing w:val="-3"/>
          <w:w w:val="95"/>
          <w:sz w:val="15"/>
        </w:rPr>
        <w:t xml:space="preserve">FDA </w:t>
      </w:r>
      <w:r w:rsidRPr="00E07D4D">
        <w:rPr>
          <w:color w:val="231F20"/>
          <w:w w:val="95"/>
          <w:sz w:val="15"/>
        </w:rPr>
        <w:t>approval</w:t>
      </w:r>
      <w:r w:rsidRPr="00E07D4D">
        <w:rPr>
          <w:color w:val="231F20"/>
          <w:spacing w:val="-19"/>
          <w:w w:val="95"/>
          <w:sz w:val="15"/>
        </w:rPr>
        <w:t xml:space="preserve"> </w:t>
      </w:r>
      <w:r w:rsidRPr="00E07D4D">
        <w:rPr>
          <w:color w:val="231F20"/>
          <w:w w:val="95"/>
          <w:sz w:val="15"/>
        </w:rPr>
        <w:t>and</w:t>
      </w:r>
      <w:r w:rsidRPr="00E07D4D">
        <w:rPr>
          <w:color w:val="231F20"/>
          <w:spacing w:val="-19"/>
          <w:w w:val="95"/>
          <w:sz w:val="15"/>
        </w:rPr>
        <w:t xml:space="preserve"> </w:t>
      </w:r>
      <w:r w:rsidRPr="00E07D4D">
        <w:rPr>
          <w:color w:val="231F20"/>
          <w:w w:val="95"/>
          <w:sz w:val="15"/>
        </w:rPr>
        <w:t>regulation</w:t>
      </w:r>
      <w:r w:rsidRPr="00E07D4D">
        <w:rPr>
          <w:color w:val="231F20"/>
          <w:spacing w:val="-19"/>
          <w:w w:val="95"/>
          <w:sz w:val="15"/>
        </w:rPr>
        <w:t xml:space="preserve"> </w:t>
      </w:r>
      <w:r w:rsidRPr="00E07D4D">
        <w:rPr>
          <w:color w:val="231F20"/>
          <w:w w:val="95"/>
          <w:sz w:val="15"/>
        </w:rPr>
        <w:t>of</w:t>
      </w:r>
      <w:r w:rsidRPr="00E07D4D">
        <w:rPr>
          <w:color w:val="231F20"/>
          <w:spacing w:val="-19"/>
          <w:w w:val="95"/>
          <w:sz w:val="15"/>
        </w:rPr>
        <w:t xml:space="preserve"> </w:t>
      </w:r>
      <w:r w:rsidRPr="00E07D4D">
        <w:rPr>
          <w:color w:val="231F20"/>
          <w:w w:val="95"/>
          <w:sz w:val="15"/>
        </w:rPr>
        <w:t xml:space="preserve">pharmaceuticals, </w:t>
      </w:r>
      <w:r w:rsidRPr="00E07D4D">
        <w:rPr>
          <w:color w:val="231F20"/>
          <w:spacing w:val="-3"/>
          <w:sz w:val="15"/>
        </w:rPr>
        <w:t xml:space="preserve">1983-2018. </w:t>
      </w:r>
      <w:r w:rsidRPr="006E5133">
        <w:rPr>
          <w:color w:val="231F20"/>
          <w:sz w:val="15"/>
          <w:lang w:val="es-ES"/>
        </w:rPr>
        <w:t>JAMA</w:t>
      </w:r>
      <w:r w:rsidRPr="006E5133">
        <w:rPr>
          <w:color w:val="231F20"/>
          <w:spacing w:val="2"/>
          <w:sz w:val="15"/>
          <w:lang w:val="es-ES"/>
        </w:rPr>
        <w:t xml:space="preserve"> </w:t>
      </w:r>
      <w:r w:rsidRPr="006E5133">
        <w:rPr>
          <w:color w:val="231F20"/>
          <w:spacing w:val="-3"/>
          <w:sz w:val="15"/>
          <w:lang w:val="es-ES"/>
        </w:rPr>
        <w:t>2020;323:164-76.</w:t>
      </w:r>
    </w:p>
    <w:p w14:paraId="2F1FD59F" w14:textId="77777777" w:rsidR="007D680E" w:rsidRPr="006E5133" w:rsidRDefault="00D34634">
      <w:pPr>
        <w:pStyle w:val="Prrafodelista"/>
        <w:numPr>
          <w:ilvl w:val="0"/>
          <w:numId w:val="1"/>
        </w:numPr>
        <w:tabs>
          <w:tab w:val="left" w:pos="440"/>
        </w:tabs>
        <w:spacing w:line="232" w:lineRule="auto"/>
        <w:ind w:hanging="1"/>
        <w:rPr>
          <w:sz w:val="15"/>
          <w:lang w:val="es-ES"/>
        </w:rPr>
      </w:pPr>
      <w:r w:rsidRPr="00E07D4D">
        <w:rPr>
          <w:color w:val="231F20"/>
          <w:sz w:val="15"/>
        </w:rPr>
        <w:t>Cao</w:t>
      </w:r>
      <w:r w:rsidRPr="00E07D4D">
        <w:rPr>
          <w:color w:val="231F20"/>
          <w:spacing w:val="-6"/>
          <w:sz w:val="15"/>
        </w:rPr>
        <w:t xml:space="preserve"> </w:t>
      </w:r>
      <w:r w:rsidRPr="00E07D4D">
        <w:rPr>
          <w:color w:val="231F20"/>
          <w:sz w:val="15"/>
        </w:rPr>
        <w:t>B,</w:t>
      </w:r>
      <w:r w:rsidRPr="00E07D4D">
        <w:rPr>
          <w:color w:val="231F20"/>
          <w:spacing w:val="-6"/>
          <w:sz w:val="15"/>
        </w:rPr>
        <w:t xml:space="preserve"> </w:t>
      </w:r>
      <w:r w:rsidRPr="00E07D4D">
        <w:rPr>
          <w:color w:val="231F20"/>
          <w:sz w:val="15"/>
        </w:rPr>
        <w:t>Wang</w:t>
      </w:r>
      <w:r w:rsidRPr="00E07D4D">
        <w:rPr>
          <w:color w:val="231F20"/>
          <w:spacing w:val="-6"/>
          <w:sz w:val="15"/>
        </w:rPr>
        <w:t xml:space="preserve"> </w:t>
      </w:r>
      <w:r w:rsidRPr="00E07D4D">
        <w:rPr>
          <w:color w:val="231F20"/>
          <w:spacing w:val="-3"/>
          <w:sz w:val="15"/>
        </w:rPr>
        <w:t>Y,</w:t>
      </w:r>
      <w:r w:rsidRPr="00E07D4D">
        <w:rPr>
          <w:color w:val="231F20"/>
          <w:spacing w:val="-6"/>
          <w:sz w:val="15"/>
        </w:rPr>
        <w:t xml:space="preserve"> </w:t>
      </w:r>
      <w:r w:rsidRPr="00E07D4D">
        <w:rPr>
          <w:color w:val="231F20"/>
          <w:spacing w:val="-3"/>
          <w:sz w:val="15"/>
        </w:rPr>
        <w:t>Wen</w:t>
      </w:r>
      <w:r w:rsidRPr="00E07D4D">
        <w:rPr>
          <w:color w:val="231F20"/>
          <w:spacing w:val="-6"/>
          <w:sz w:val="15"/>
        </w:rPr>
        <w:t xml:space="preserve"> </w:t>
      </w:r>
      <w:r w:rsidRPr="00E07D4D">
        <w:rPr>
          <w:color w:val="231F20"/>
          <w:spacing w:val="-3"/>
          <w:sz w:val="15"/>
        </w:rPr>
        <w:t>D,</w:t>
      </w:r>
      <w:r w:rsidRPr="00E07D4D">
        <w:rPr>
          <w:color w:val="231F20"/>
          <w:spacing w:val="-6"/>
          <w:sz w:val="15"/>
        </w:rPr>
        <w:t xml:space="preserve"> </w:t>
      </w:r>
      <w:r w:rsidRPr="00E07D4D">
        <w:rPr>
          <w:color w:val="231F20"/>
          <w:sz w:val="15"/>
        </w:rPr>
        <w:t>et</w:t>
      </w:r>
      <w:r w:rsidRPr="00E07D4D">
        <w:rPr>
          <w:color w:val="231F20"/>
          <w:spacing w:val="-6"/>
          <w:sz w:val="15"/>
        </w:rPr>
        <w:t xml:space="preserve"> </w:t>
      </w:r>
      <w:r w:rsidRPr="00E07D4D">
        <w:rPr>
          <w:color w:val="231F20"/>
          <w:sz w:val="15"/>
        </w:rPr>
        <w:t>al.</w:t>
      </w:r>
      <w:r w:rsidRPr="00E07D4D">
        <w:rPr>
          <w:color w:val="231F20"/>
          <w:spacing w:val="-6"/>
          <w:sz w:val="15"/>
        </w:rPr>
        <w:t xml:space="preserve"> </w:t>
      </w:r>
      <w:r w:rsidRPr="00E07D4D">
        <w:rPr>
          <w:color w:val="231F20"/>
          <w:sz w:val="15"/>
        </w:rPr>
        <w:t>A</w:t>
      </w:r>
      <w:r w:rsidRPr="00E07D4D">
        <w:rPr>
          <w:color w:val="231F20"/>
          <w:spacing w:val="-6"/>
          <w:sz w:val="15"/>
        </w:rPr>
        <w:t xml:space="preserve"> </w:t>
      </w:r>
      <w:r w:rsidRPr="00E07D4D">
        <w:rPr>
          <w:color w:val="231F20"/>
          <w:spacing w:val="2"/>
          <w:sz w:val="15"/>
        </w:rPr>
        <w:t>trial</w:t>
      </w:r>
      <w:r w:rsidRPr="00E07D4D">
        <w:rPr>
          <w:color w:val="231F20"/>
          <w:spacing w:val="-6"/>
          <w:sz w:val="15"/>
        </w:rPr>
        <w:t xml:space="preserve"> </w:t>
      </w:r>
      <w:r w:rsidRPr="00E07D4D">
        <w:rPr>
          <w:color w:val="231F20"/>
          <w:sz w:val="15"/>
        </w:rPr>
        <w:t xml:space="preserve">of </w:t>
      </w:r>
      <w:r w:rsidRPr="00E07D4D">
        <w:rPr>
          <w:color w:val="231F20"/>
          <w:w w:val="95"/>
          <w:sz w:val="15"/>
        </w:rPr>
        <w:t xml:space="preserve">lopinavir–ritonavir in adults hospitalized </w:t>
      </w:r>
      <w:r w:rsidRPr="00E07D4D">
        <w:rPr>
          <w:color w:val="231F20"/>
          <w:sz w:val="15"/>
        </w:rPr>
        <w:t xml:space="preserve">with severe </w:t>
      </w:r>
      <w:r w:rsidRPr="00E07D4D">
        <w:rPr>
          <w:color w:val="231F20"/>
          <w:spacing w:val="-3"/>
          <w:sz w:val="15"/>
        </w:rPr>
        <w:t xml:space="preserve">Covid-19. </w:t>
      </w:r>
      <w:r w:rsidRPr="006E5133">
        <w:rPr>
          <w:color w:val="231F20"/>
          <w:sz w:val="15"/>
          <w:lang w:val="es-ES"/>
        </w:rPr>
        <w:t>N Engl J Med.</w:t>
      </w:r>
      <w:r w:rsidRPr="006E5133">
        <w:rPr>
          <w:color w:val="231F20"/>
          <w:spacing w:val="-25"/>
          <w:sz w:val="15"/>
          <w:lang w:val="es-ES"/>
        </w:rPr>
        <w:t xml:space="preserve"> </w:t>
      </w:r>
      <w:r w:rsidRPr="006E5133">
        <w:rPr>
          <w:color w:val="231F20"/>
          <w:sz w:val="15"/>
          <w:lang w:val="es-ES"/>
        </w:rPr>
        <w:t xml:space="preserve">DOI: </w:t>
      </w:r>
      <w:r w:rsidRPr="006E5133">
        <w:rPr>
          <w:color w:val="231F20"/>
          <w:spacing w:val="-6"/>
          <w:sz w:val="15"/>
          <w:lang w:val="es-ES"/>
        </w:rPr>
        <w:t>1</w:t>
      </w:r>
      <w:r w:rsidRPr="006E5133">
        <w:rPr>
          <w:color w:val="231F20"/>
          <w:spacing w:val="-3"/>
          <w:sz w:val="15"/>
          <w:lang w:val="es-ES"/>
        </w:rPr>
        <w:t>0</w:t>
      </w:r>
      <w:r w:rsidRPr="006E5133">
        <w:rPr>
          <w:color w:val="231F20"/>
          <w:spacing w:val="-5"/>
          <w:w w:val="111"/>
          <w:sz w:val="15"/>
          <w:lang w:val="es-ES"/>
        </w:rPr>
        <w:t>.</w:t>
      </w:r>
      <w:r w:rsidRPr="006E5133">
        <w:rPr>
          <w:color w:val="231F20"/>
          <w:spacing w:val="-6"/>
          <w:sz w:val="15"/>
          <w:lang w:val="es-ES"/>
        </w:rPr>
        <w:t>1</w:t>
      </w:r>
      <w:r w:rsidRPr="006E5133">
        <w:rPr>
          <w:color w:val="231F20"/>
          <w:spacing w:val="-3"/>
          <w:sz w:val="15"/>
          <w:lang w:val="es-ES"/>
        </w:rPr>
        <w:t>0</w:t>
      </w:r>
      <w:r w:rsidRPr="006E5133">
        <w:rPr>
          <w:color w:val="231F20"/>
          <w:spacing w:val="-2"/>
          <w:sz w:val="15"/>
          <w:lang w:val="es-ES"/>
        </w:rPr>
        <w:t>5</w:t>
      </w:r>
      <w:r w:rsidRPr="006E5133">
        <w:rPr>
          <w:color w:val="231F20"/>
          <w:spacing w:val="-3"/>
          <w:sz w:val="15"/>
          <w:lang w:val="es-ES"/>
        </w:rPr>
        <w:t>6</w:t>
      </w:r>
      <w:r w:rsidRPr="006E5133">
        <w:rPr>
          <w:color w:val="231F20"/>
          <w:w w:val="47"/>
          <w:sz w:val="15"/>
          <w:lang w:val="es-ES"/>
        </w:rPr>
        <w:t>/</w:t>
      </w:r>
      <w:r w:rsidRPr="006E5133">
        <w:rPr>
          <w:color w:val="231F20"/>
          <w:spacing w:val="1"/>
          <w:w w:val="86"/>
          <w:sz w:val="15"/>
          <w:lang w:val="es-ES"/>
        </w:rPr>
        <w:t>N</w:t>
      </w:r>
      <w:r w:rsidRPr="006E5133">
        <w:rPr>
          <w:color w:val="231F20"/>
          <w:spacing w:val="-2"/>
          <w:w w:val="89"/>
          <w:sz w:val="15"/>
          <w:lang w:val="es-ES"/>
        </w:rPr>
        <w:t>E</w:t>
      </w:r>
      <w:r w:rsidRPr="006E5133">
        <w:rPr>
          <w:color w:val="231F20"/>
          <w:spacing w:val="-1"/>
          <w:w w:val="87"/>
          <w:sz w:val="15"/>
          <w:lang w:val="es-ES"/>
        </w:rPr>
        <w:t>J</w:t>
      </w:r>
      <w:r w:rsidRPr="006E5133">
        <w:rPr>
          <w:color w:val="231F20"/>
          <w:spacing w:val="-2"/>
          <w:w w:val="86"/>
          <w:sz w:val="15"/>
          <w:lang w:val="es-ES"/>
        </w:rPr>
        <w:t>M</w:t>
      </w:r>
      <w:r w:rsidRPr="006E5133">
        <w:rPr>
          <w:color w:val="231F20"/>
          <w:w w:val="94"/>
          <w:sz w:val="15"/>
          <w:lang w:val="es-ES"/>
        </w:rPr>
        <w:t>o</w:t>
      </w:r>
      <w:r w:rsidRPr="006E5133">
        <w:rPr>
          <w:color w:val="231F20"/>
          <w:spacing w:val="3"/>
          <w:w w:val="89"/>
          <w:sz w:val="15"/>
          <w:lang w:val="es-ES"/>
        </w:rPr>
        <w:t>a</w:t>
      </w:r>
      <w:r w:rsidRPr="006E5133">
        <w:rPr>
          <w:color w:val="231F20"/>
          <w:spacing w:val="-2"/>
          <w:sz w:val="15"/>
          <w:lang w:val="es-ES"/>
        </w:rPr>
        <w:t>2</w:t>
      </w:r>
      <w:r w:rsidRPr="006E5133">
        <w:rPr>
          <w:color w:val="231F20"/>
          <w:spacing w:val="2"/>
          <w:sz w:val="15"/>
          <w:lang w:val="es-ES"/>
        </w:rPr>
        <w:t>0</w:t>
      </w:r>
      <w:r w:rsidRPr="006E5133">
        <w:rPr>
          <w:color w:val="231F20"/>
          <w:spacing w:val="-4"/>
          <w:sz w:val="15"/>
          <w:lang w:val="es-ES"/>
        </w:rPr>
        <w:t>0</w:t>
      </w:r>
      <w:r w:rsidRPr="006E5133">
        <w:rPr>
          <w:color w:val="231F20"/>
          <w:spacing w:val="1"/>
          <w:sz w:val="15"/>
          <w:lang w:val="es-ES"/>
        </w:rPr>
        <w:t>1</w:t>
      </w:r>
      <w:r w:rsidRPr="006E5133">
        <w:rPr>
          <w:color w:val="231F20"/>
          <w:spacing w:val="-1"/>
          <w:sz w:val="15"/>
          <w:lang w:val="es-ES"/>
        </w:rPr>
        <w:t>2</w:t>
      </w:r>
      <w:r w:rsidRPr="006E5133">
        <w:rPr>
          <w:color w:val="231F20"/>
          <w:spacing w:val="-3"/>
          <w:sz w:val="15"/>
          <w:lang w:val="es-ES"/>
        </w:rPr>
        <w:t>8</w:t>
      </w:r>
      <w:r w:rsidRPr="006E5133">
        <w:rPr>
          <w:color w:val="231F20"/>
          <w:spacing w:val="-1"/>
          <w:sz w:val="15"/>
          <w:lang w:val="es-ES"/>
        </w:rPr>
        <w:t>2</w:t>
      </w:r>
      <w:r w:rsidRPr="006E5133">
        <w:rPr>
          <w:color w:val="231F20"/>
          <w:w w:val="111"/>
          <w:sz w:val="15"/>
          <w:lang w:val="es-ES"/>
        </w:rPr>
        <w:t>.</w:t>
      </w:r>
    </w:p>
    <w:p w14:paraId="2F1FD5A0" w14:textId="77777777" w:rsidR="007D680E" w:rsidRPr="006E5133" w:rsidRDefault="007D680E">
      <w:pPr>
        <w:pStyle w:val="Textoindependiente"/>
        <w:spacing w:before="7"/>
        <w:rPr>
          <w:sz w:val="13"/>
          <w:lang w:val="es-ES"/>
        </w:rPr>
      </w:pPr>
    </w:p>
    <w:p w14:paraId="2F1FD5A1" w14:textId="77777777" w:rsidR="007D680E" w:rsidRPr="006E5133" w:rsidRDefault="00D34634">
      <w:pPr>
        <w:spacing w:before="1"/>
        <w:ind w:left="199"/>
        <w:jc w:val="both"/>
        <w:rPr>
          <w:rFonts w:ascii="Calibri"/>
          <w:b/>
          <w:sz w:val="14"/>
          <w:lang w:val="es-ES"/>
        </w:rPr>
      </w:pPr>
      <w:r w:rsidRPr="006E5133">
        <w:rPr>
          <w:rFonts w:ascii="Calibri"/>
          <w:b/>
          <w:color w:val="77787B"/>
          <w:w w:val="105"/>
          <w:sz w:val="14"/>
          <w:lang w:val="es-ES"/>
        </w:rPr>
        <w:t>DOI: 10.1056/NEJMp2009457</w:t>
      </w:r>
    </w:p>
    <w:p w14:paraId="2F1FD5A2" w14:textId="77777777" w:rsidR="007D680E" w:rsidRPr="00E07D4D" w:rsidRDefault="00D34634">
      <w:pPr>
        <w:spacing w:before="28"/>
        <w:ind w:left="199"/>
        <w:jc w:val="both"/>
        <w:rPr>
          <w:rFonts w:ascii="Calibri" w:hAnsi="Calibri"/>
          <w:i/>
          <w:sz w:val="12"/>
        </w:rPr>
      </w:pPr>
      <w:r w:rsidRPr="00E07D4D">
        <w:rPr>
          <w:rFonts w:ascii="Calibri" w:hAnsi="Calibri"/>
          <w:i/>
          <w:color w:val="231F20"/>
          <w:spacing w:val="-59"/>
          <w:w w:val="115"/>
          <w:sz w:val="12"/>
        </w:rPr>
        <w:t>C</w:t>
      </w:r>
      <w:r w:rsidRPr="00E07D4D">
        <w:rPr>
          <w:rFonts w:ascii="Calibri" w:hAnsi="Calibri"/>
          <w:b/>
          <w:color w:val="FFFFFF"/>
          <w:w w:val="24"/>
          <w:sz w:val="2"/>
        </w:rPr>
        <w:t>n</w:t>
      </w:r>
      <w:r w:rsidRPr="00E07D4D">
        <w:rPr>
          <w:rFonts w:ascii="Calibri" w:hAnsi="Calibri"/>
          <w:b/>
          <w:color w:val="FFFFFF"/>
          <w:w w:val="22"/>
          <w:sz w:val="2"/>
        </w:rPr>
        <w:t>du</w:t>
      </w:r>
      <w:r w:rsidRPr="00E07D4D">
        <w:rPr>
          <w:rFonts w:ascii="Calibri" w:hAnsi="Calibri"/>
          <w:b/>
          <w:color w:val="FFFFFF"/>
          <w:w w:val="28"/>
          <w:sz w:val="2"/>
        </w:rPr>
        <w:t>r</w:t>
      </w:r>
      <w:r w:rsidRPr="00E07D4D">
        <w:rPr>
          <w:rFonts w:ascii="Calibri" w:hAnsi="Calibri"/>
          <w:b/>
          <w:color w:val="FFFFFF"/>
          <w:spacing w:val="-1"/>
          <w:w w:val="25"/>
          <w:sz w:val="2"/>
        </w:rPr>
        <w:t>i</w:t>
      </w:r>
      <w:r w:rsidRPr="00E07D4D">
        <w:rPr>
          <w:rFonts w:ascii="Calibri" w:hAnsi="Calibri"/>
          <w:b/>
          <w:color w:val="FFFFFF"/>
          <w:spacing w:val="-1"/>
          <w:w w:val="24"/>
          <w:sz w:val="2"/>
        </w:rPr>
        <w:t>n</w:t>
      </w:r>
      <w:r w:rsidRPr="00E07D4D">
        <w:rPr>
          <w:rFonts w:ascii="Calibri" w:hAnsi="Calibri"/>
          <w:b/>
          <w:color w:val="FFFFFF"/>
          <w:w w:val="26"/>
          <w:sz w:val="2"/>
        </w:rPr>
        <w:t>g</w:t>
      </w:r>
      <w:r w:rsidRPr="00E07D4D">
        <w:rPr>
          <w:rFonts w:ascii="Calibri" w:hAnsi="Calibri"/>
          <w:b/>
          <w:color w:val="FFFFFF"/>
          <w:w w:val="25"/>
          <w:sz w:val="2"/>
        </w:rPr>
        <w:t>th</w:t>
      </w:r>
      <w:r w:rsidRPr="00E07D4D">
        <w:rPr>
          <w:rFonts w:ascii="Calibri" w:hAnsi="Calibri"/>
          <w:b/>
          <w:color w:val="FFFFFF"/>
          <w:w w:val="18"/>
          <w:sz w:val="2"/>
        </w:rPr>
        <w:t>e</w:t>
      </w:r>
      <w:r w:rsidRPr="00E07D4D">
        <w:rPr>
          <w:rFonts w:ascii="Calibri" w:hAnsi="Calibri"/>
          <w:b/>
          <w:color w:val="FFFFFF"/>
          <w:w w:val="19"/>
          <w:sz w:val="2"/>
        </w:rPr>
        <w:t>C</w:t>
      </w:r>
      <w:r w:rsidRPr="00E07D4D">
        <w:rPr>
          <w:rFonts w:ascii="Calibri" w:hAnsi="Calibri"/>
          <w:b/>
          <w:color w:val="FFFFFF"/>
          <w:w w:val="24"/>
          <w:sz w:val="2"/>
        </w:rPr>
        <w:t>o</w:t>
      </w:r>
      <w:r w:rsidRPr="00E07D4D">
        <w:rPr>
          <w:rFonts w:ascii="Calibri" w:hAnsi="Calibri"/>
          <w:b/>
          <w:color w:val="FFFFFF"/>
          <w:w w:val="21"/>
          <w:sz w:val="2"/>
        </w:rPr>
        <w:t>v</w:t>
      </w:r>
      <w:r w:rsidRPr="00E07D4D">
        <w:rPr>
          <w:rFonts w:ascii="Calibri" w:hAnsi="Calibri"/>
          <w:b/>
          <w:color w:val="FFFFFF"/>
          <w:w w:val="25"/>
          <w:sz w:val="2"/>
        </w:rPr>
        <w:t>i</w:t>
      </w:r>
      <w:r w:rsidRPr="00E07D4D">
        <w:rPr>
          <w:rFonts w:ascii="Calibri" w:hAnsi="Calibri"/>
          <w:b/>
          <w:color w:val="FFFFFF"/>
          <w:w w:val="22"/>
          <w:sz w:val="2"/>
        </w:rPr>
        <w:t>d</w:t>
      </w:r>
      <w:r w:rsidRPr="00E07D4D">
        <w:rPr>
          <w:rFonts w:ascii="Calibri" w:hAnsi="Calibri"/>
          <w:b/>
          <w:color w:val="FFFFFF"/>
          <w:spacing w:val="-1"/>
          <w:w w:val="18"/>
          <w:sz w:val="2"/>
        </w:rPr>
        <w:t>-</w:t>
      </w:r>
      <w:r w:rsidRPr="00E07D4D">
        <w:rPr>
          <w:rFonts w:ascii="Calibri" w:hAnsi="Calibri"/>
          <w:b/>
          <w:color w:val="FFFFFF"/>
          <w:spacing w:val="-1"/>
          <w:w w:val="19"/>
          <w:sz w:val="2"/>
        </w:rPr>
        <w:t>1</w:t>
      </w:r>
      <w:r w:rsidRPr="00E07D4D">
        <w:rPr>
          <w:rFonts w:ascii="Calibri" w:hAnsi="Calibri"/>
          <w:b/>
          <w:color w:val="FFFFFF"/>
          <w:w w:val="19"/>
          <w:sz w:val="2"/>
        </w:rPr>
        <w:t>9</w:t>
      </w:r>
      <w:r w:rsidRPr="00E07D4D">
        <w:rPr>
          <w:rFonts w:ascii="Calibri" w:hAnsi="Calibri"/>
          <w:b/>
          <w:color w:val="FFFFFF"/>
          <w:w w:val="18"/>
          <w:sz w:val="2"/>
        </w:rPr>
        <w:t>P</w:t>
      </w:r>
      <w:r w:rsidRPr="00E07D4D">
        <w:rPr>
          <w:rFonts w:ascii="Calibri" w:hAnsi="Calibri"/>
          <w:b/>
          <w:color w:val="FFFFFF"/>
          <w:w w:val="20"/>
          <w:sz w:val="2"/>
        </w:rPr>
        <w:t>a</w:t>
      </w:r>
      <w:r w:rsidRPr="00E07D4D">
        <w:rPr>
          <w:rFonts w:ascii="Calibri" w:hAnsi="Calibri"/>
          <w:b/>
          <w:color w:val="FFFFFF"/>
          <w:w w:val="24"/>
          <w:sz w:val="2"/>
        </w:rPr>
        <w:t>n</w:t>
      </w:r>
      <w:r w:rsidRPr="00E07D4D">
        <w:rPr>
          <w:rFonts w:ascii="Calibri" w:hAnsi="Calibri"/>
          <w:b/>
          <w:color w:val="FFFFFF"/>
          <w:w w:val="22"/>
          <w:sz w:val="2"/>
        </w:rPr>
        <w:t>d</w:t>
      </w:r>
      <w:r w:rsidRPr="00E07D4D">
        <w:rPr>
          <w:rFonts w:ascii="Calibri" w:hAnsi="Calibri"/>
          <w:b/>
          <w:color w:val="FFFFFF"/>
          <w:w w:val="18"/>
          <w:sz w:val="2"/>
        </w:rPr>
        <w:t>e</w:t>
      </w:r>
      <w:r w:rsidRPr="00E07D4D">
        <w:rPr>
          <w:rFonts w:ascii="Calibri" w:hAnsi="Calibri"/>
          <w:b/>
          <w:color w:val="FFFFFF"/>
          <w:spacing w:val="-1"/>
          <w:w w:val="18"/>
          <w:sz w:val="2"/>
        </w:rPr>
        <w:t>m</w:t>
      </w:r>
      <w:r w:rsidRPr="00E07D4D">
        <w:rPr>
          <w:rFonts w:ascii="Calibri" w:hAnsi="Calibri"/>
          <w:b/>
          <w:color w:val="FFFFFF"/>
          <w:w w:val="25"/>
          <w:sz w:val="2"/>
        </w:rPr>
        <w:t>i</w:t>
      </w:r>
      <w:r w:rsidRPr="00E07D4D">
        <w:rPr>
          <w:rFonts w:ascii="Calibri" w:hAnsi="Calibri"/>
          <w:b/>
          <w:color w:val="FFFFFF"/>
          <w:w w:val="24"/>
          <w:sz w:val="2"/>
        </w:rPr>
        <w:t>c</w:t>
      </w:r>
      <w:r w:rsidRPr="00E07D4D">
        <w:rPr>
          <w:rFonts w:ascii="Calibri" w:hAnsi="Calibri"/>
          <w:b/>
          <w:color w:val="FFFFFF"/>
          <w:sz w:val="2"/>
        </w:rPr>
        <w:t xml:space="preserve">            </w:t>
      </w:r>
      <w:r w:rsidRPr="00E07D4D">
        <w:rPr>
          <w:rFonts w:ascii="Calibri" w:hAnsi="Calibri"/>
          <w:b/>
          <w:color w:val="FFFFFF"/>
          <w:spacing w:val="-1"/>
          <w:sz w:val="2"/>
        </w:rPr>
        <w:t xml:space="preserve"> </w:t>
      </w:r>
      <w:r w:rsidRPr="00E07D4D">
        <w:rPr>
          <w:rFonts w:ascii="Calibri" w:hAnsi="Calibri"/>
          <w:i/>
          <w:color w:val="231F20"/>
          <w:w w:val="93"/>
          <w:sz w:val="12"/>
        </w:rPr>
        <w:t>opyright</w:t>
      </w:r>
      <w:r w:rsidRPr="00E07D4D">
        <w:rPr>
          <w:rFonts w:ascii="Calibri" w:hAnsi="Calibri"/>
          <w:i/>
          <w:color w:val="231F20"/>
          <w:spacing w:val="5"/>
          <w:sz w:val="12"/>
        </w:rPr>
        <w:t xml:space="preserve"> </w:t>
      </w:r>
      <w:r w:rsidRPr="00E07D4D">
        <w:rPr>
          <w:rFonts w:ascii="Calibri" w:hAnsi="Calibri"/>
          <w:i/>
          <w:color w:val="231F20"/>
          <w:w w:val="120"/>
          <w:sz w:val="12"/>
        </w:rPr>
        <w:t>©</w:t>
      </w:r>
      <w:r w:rsidRPr="00E07D4D">
        <w:rPr>
          <w:rFonts w:ascii="Calibri" w:hAnsi="Calibri"/>
          <w:i/>
          <w:color w:val="231F20"/>
          <w:spacing w:val="5"/>
          <w:sz w:val="12"/>
        </w:rPr>
        <w:t xml:space="preserve"> </w:t>
      </w:r>
      <w:r w:rsidRPr="00E07D4D">
        <w:rPr>
          <w:rFonts w:ascii="Calibri" w:hAnsi="Calibri"/>
          <w:i/>
          <w:color w:val="231F20"/>
          <w:w w:val="98"/>
          <w:sz w:val="12"/>
        </w:rPr>
        <w:t>2020</w:t>
      </w:r>
      <w:r w:rsidRPr="00E07D4D">
        <w:rPr>
          <w:rFonts w:ascii="Calibri" w:hAnsi="Calibri"/>
          <w:i/>
          <w:color w:val="231F20"/>
          <w:spacing w:val="5"/>
          <w:sz w:val="12"/>
        </w:rPr>
        <w:t xml:space="preserve"> </w:t>
      </w:r>
      <w:r w:rsidRPr="00E07D4D">
        <w:rPr>
          <w:rFonts w:ascii="Calibri" w:hAnsi="Calibri"/>
          <w:i/>
          <w:color w:val="231F20"/>
          <w:w w:val="94"/>
          <w:sz w:val="12"/>
        </w:rPr>
        <w:t>Massachusetts</w:t>
      </w:r>
      <w:r w:rsidRPr="00E07D4D">
        <w:rPr>
          <w:rFonts w:ascii="Calibri" w:hAnsi="Calibri"/>
          <w:i/>
          <w:color w:val="231F20"/>
          <w:spacing w:val="5"/>
          <w:sz w:val="12"/>
        </w:rPr>
        <w:t xml:space="preserve"> </w:t>
      </w:r>
      <w:r w:rsidRPr="00E07D4D">
        <w:rPr>
          <w:rFonts w:ascii="Calibri" w:hAnsi="Calibri"/>
          <w:i/>
          <w:color w:val="231F20"/>
          <w:w w:val="97"/>
          <w:sz w:val="12"/>
        </w:rPr>
        <w:t>Medical</w:t>
      </w:r>
      <w:r w:rsidRPr="00E07D4D">
        <w:rPr>
          <w:rFonts w:ascii="Calibri" w:hAnsi="Calibri"/>
          <w:i/>
          <w:color w:val="231F20"/>
          <w:spacing w:val="5"/>
          <w:sz w:val="12"/>
        </w:rPr>
        <w:t xml:space="preserve"> </w:t>
      </w:r>
      <w:r w:rsidRPr="00E07D4D">
        <w:rPr>
          <w:rFonts w:ascii="Calibri" w:hAnsi="Calibri"/>
          <w:i/>
          <w:color w:val="231F20"/>
          <w:w w:val="97"/>
          <w:sz w:val="12"/>
        </w:rPr>
        <w:t>Society.</w:t>
      </w:r>
    </w:p>
    <w:p w14:paraId="2F1FD5A3" w14:textId="77777777" w:rsidR="007D680E" w:rsidRPr="00E07D4D" w:rsidRDefault="007D680E">
      <w:pPr>
        <w:jc w:val="both"/>
        <w:rPr>
          <w:rFonts w:ascii="Calibri" w:hAnsi="Calibri"/>
          <w:sz w:val="12"/>
        </w:rPr>
        <w:sectPr w:rsidR="007D680E" w:rsidRPr="00E07D4D">
          <w:type w:val="continuous"/>
          <w:pgSz w:w="11340" w:h="15120"/>
          <w:pgMar w:top="660" w:right="460" w:bottom="1140" w:left="520" w:header="720" w:footer="720" w:gutter="0"/>
          <w:cols w:num="3" w:space="720" w:equalWidth="0">
            <w:col w:w="4252" w:space="40"/>
            <w:col w:w="2934" w:space="39"/>
            <w:col w:w="3095"/>
          </w:cols>
        </w:sectPr>
      </w:pPr>
    </w:p>
    <w:p w14:paraId="2F1FD5A4" w14:textId="77777777" w:rsidR="007D680E" w:rsidRPr="00E07D4D" w:rsidRDefault="007D680E">
      <w:pPr>
        <w:pStyle w:val="Textoindependiente"/>
        <w:rPr>
          <w:rFonts w:ascii="Calibri"/>
          <w:i/>
        </w:rPr>
      </w:pPr>
    </w:p>
    <w:p w14:paraId="2F1FD5A5" w14:textId="77777777" w:rsidR="007D680E" w:rsidRPr="00E07D4D" w:rsidRDefault="007D680E">
      <w:pPr>
        <w:pStyle w:val="Textoindependiente"/>
        <w:rPr>
          <w:rFonts w:ascii="Calibri"/>
          <w:i/>
        </w:rPr>
      </w:pPr>
    </w:p>
    <w:p w14:paraId="2F1FD5A6" w14:textId="77777777" w:rsidR="007D680E" w:rsidRPr="00E07D4D" w:rsidRDefault="007D680E">
      <w:pPr>
        <w:pStyle w:val="Textoindependiente"/>
        <w:rPr>
          <w:rFonts w:ascii="Calibri"/>
          <w:i/>
        </w:rPr>
      </w:pPr>
    </w:p>
    <w:p w14:paraId="2F1FD5A7" w14:textId="77777777" w:rsidR="007D680E" w:rsidRPr="00E07D4D" w:rsidRDefault="007D680E">
      <w:pPr>
        <w:pStyle w:val="Textoindependiente"/>
        <w:rPr>
          <w:rFonts w:ascii="Calibri"/>
          <w:i/>
        </w:rPr>
      </w:pPr>
    </w:p>
    <w:p w14:paraId="2F1FD5A8" w14:textId="77777777" w:rsidR="007D680E" w:rsidRPr="00E07D4D" w:rsidRDefault="007D680E">
      <w:pPr>
        <w:pStyle w:val="Textoindependiente"/>
        <w:rPr>
          <w:rFonts w:ascii="Calibri"/>
          <w:i/>
        </w:rPr>
      </w:pPr>
    </w:p>
    <w:p w14:paraId="2F1FD5A9" w14:textId="77777777" w:rsidR="007D680E" w:rsidRPr="00E07D4D" w:rsidRDefault="007D680E">
      <w:pPr>
        <w:pStyle w:val="Textoindependiente"/>
        <w:rPr>
          <w:rFonts w:ascii="Calibri"/>
          <w:i/>
        </w:rPr>
      </w:pPr>
    </w:p>
    <w:p w14:paraId="2F1FD5AA" w14:textId="77777777" w:rsidR="007D680E" w:rsidRPr="00E07D4D" w:rsidRDefault="007D680E">
      <w:pPr>
        <w:pStyle w:val="Textoindependiente"/>
        <w:rPr>
          <w:rFonts w:ascii="Calibri"/>
          <w:i/>
        </w:rPr>
      </w:pPr>
    </w:p>
    <w:p w14:paraId="2F1FD5AB" w14:textId="77777777" w:rsidR="007D680E" w:rsidRPr="00E07D4D" w:rsidRDefault="007D680E">
      <w:pPr>
        <w:pStyle w:val="Textoindependiente"/>
        <w:rPr>
          <w:rFonts w:ascii="Calibri"/>
          <w:i/>
        </w:rPr>
      </w:pPr>
    </w:p>
    <w:p w14:paraId="2F1FD5AC" w14:textId="77777777" w:rsidR="007D680E" w:rsidRPr="00E07D4D" w:rsidRDefault="007D680E">
      <w:pPr>
        <w:pStyle w:val="Textoindependiente"/>
        <w:rPr>
          <w:rFonts w:ascii="Calibri"/>
          <w:i/>
        </w:rPr>
      </w:pPr>
    </w:p>
    <w:p w14:paraId="2F1FD5AD" w14:textId="77777777" w:rsidR="007D680E" w:rsidRPr="00E07D4D" w:rsidRDefault="007D680E">
      <w:pPr>
        <w:pStyle w:val="Textoindependiente"/>
        <w:rPr>
          <w:rFonts w:ascii="Calibri"/>
          <w:i/>
        </w:rPr>
      </w:pPr>
    </w:p>
    <w:p w14:paraId="2F1FD5AE" w14:textId="77777777" w:rsidR="007D680E" w:rsidRPr="00E07D4D" w:rsidRDefault="007D680E">
      <w:pPr>
        <w:pStyle w:val="Textoindependiente"/>
        <w:rPr>
          <w:rFonts w:ascii="Calibri"/>
          <w:i/>
        </w:rPr>
      </w:pPr>
    </w:p>
    <w:p w14:paraId="2F1FD5AF" w14:textId="77777777" w:rsidR="007D680E" w:rsidRPr="00E07D4D" w:rsidRDefault="007D680E">
      <w:pPr>
        <w:pStyle w:val="Textoindependiente"/>
        <w:rPr>
          <w:rFonts w:ascii="Calibri"/>
          <w:i/>
        </w:rPr>
      </w:pPr>
    </w:p>
    <w:p w14:paraId="2F1FD5B0" w14:textId="77777777" w:rsidR="007D680E" w:rsidRPr="00E07D4D" w:rsidRDefault="007D680E">
      <w:pPr>
        <w:pStyle w:val="Textoindependiente"/>
        <w:rPr>
          <w:rFonts w:ascii="Calibri"/>
          <w:i/>
        </w:rPr>
      </w:pPr>
    </w:p>
    <w:p w14:paraId="2F1FD5B1" w14:textId="77777777" w:rsidR="007D680E" w:rsidRPr="00E07D4D" w:rsidRDefault="007D680E">
      <w:pPr>
        <w:pStyle w:val="Textoindependiente"/>
        <w:rPr>
          <w:rFonts w:ascii="Calibri"/>
          <w:i/>
        </w:rPr>
      </w:pPr>
    </w:p>
    <w:p w14:paraId="2F1FD5B2" w14:textId="77777777" w:rsidR="007D680E" w:rsidRPr="00E07D4D" w:rsidRDefault="007D680E">
      <w:pPr>
        <w:pStyle w:val="Textoindependiente"/>
        <w:rPr>
          <w:rFonts w:ascii="Calibri"/>
          <w:i/>
        </w:rPr>
      </w:pPr>
    </w:p>
    <w:p w14:paraId="2F1FD5B3" w14:textId="77777777" w:rsidR="007D680E" w:rsidRPr="00E07D4D" w:rsidRDefault="007D680E">
      <w:pPr>
        <w:pStyle w:val="Textoindependiente"/>
        <w:rPr>
          <w:rFonts w:ascii="Calibri"/>
          <w:i/>
        </w:rPr>
      </w:pPr>
    </w:p>
    <w:p w14:paraId="2F1FD5B4" w14:textId="77777777" w:rsidR="007D680E" w:rsidRPr="00E07D4D" w:rsidRDefault="007D680E">
      <w:pPr>
        <w:pStyle w:val="Textoindependiente"/>
        <w:rPr>
          <w:rFonts w:ascii="Calibri"/>
          <w:i/>
        </w:rPr>
      </w:pPr>
    </w:p>
    <w:p w14:paraId="2F1FD5B5" w14:textId="77777777" w:rsidR="007D680E" w:rsidRPr="00E07D4D" w:rsidRDefault="007D680E">
      <w:pPr>
        <w:pStyle w:val="Textoindependiente"/>
        <w:rPr>
          <w:rFonts w:ascii="Calibri"/>
          <w:i/>
        </w:rPr>
      </w:pPr>
    </w:p>
    <w:p w14:paraId="2F1FD5B6" w14:textId="77777777" w:rsidR="007D680E" w:rsidRPr="00E07D4D" w:rsidRDefault="007D680E">
      <w:pPr>
        <w:pStyle w:val="Textoindependiente"/>
        <w:rPr>
          <w:rFonts w:ascii="Calibri"/>
          <w:i/>
        </w:rPr>
      </w:pPr>
    </w:p>
    <w:p w14:paraId="2F1FD5B7" w14:textId="77777777" w:rsidR="007D680E" w:rsidRPr="00E07D4D" w:rsidRDefault="007D680E">
      <w:pPr>
        <w:pStyle w:val="Textoindependiente"/>
        <w:rPr>
          <w:rFonts w:ascii="Calibri"/>
          <w:i/>
        </w:rPr>
      </w:pPr>
    </w:p>
    <w:p w14:paraId="2F1FD5B8" w14:textId="77777777" w:rsidR="007D680E" w:rsidRPr="00E07D4D" w:rsidRDefault="007D680E">
      <w:pPr>
        <w:pStyle w:val="Textoindependiente"/>
        <w:rPr>
          <w:rFonts w:ascii="Calibri"/>
          <w:i/>
        </w:rPr>
      </w:pPr>
    </w:p>
    <w:p w14:paraId="2F1FD5BD" w14:textId="77777777" w:rsidR="007D680E" w:rsidRPr="00E07D4D" w:rsidRDefault="007D680E">
      <w:pPr>
        <w:pStyle w:val="Textoindependiente"/>
        <w:rPr>
          <w:rFonts w:ascii="Calibri"/>
          <w:i/>
        </w:rPr>
      </w:pPr>
    </w:p>
    <w:p w14:paraId="2F1FD5BE" w14:textId="77777777" w:rsidR="007D680E" w:rsidRPr="00E07D4D" w:rsidRDefault="007D680E">
      <w:pPr>
        <w:pStyle w:val="Textoindependiente"/>
        <w:rPr>
          <w:rFonts w:ascii="Calibri"/>
          <w:i/>
        </w:rPr>
      </w:pPr>
    </w:p>
    <w:p w14:paraId="2F1FD5BF" w14:textId="77777777" w:rsidR="007D680E" w:rsidRPr="00E07D4D" w:rsidRDefault="007D680E">
      <w:pPr>
        <w:pStyle w:val="Textoindependiente"/>
        <w:spacing w:before="4"/>
        <w:rPr>
          <w:rFonts w:ascii="Calibri"/>
          <w:i/>
          <w:sz w:val="18"/>
        </w:rPr>
      </w:pPr>
    </w:p>
    <w:p w14:paraId="2F1FD5C0" w14:textId="526FDFFE" w:rsidR="007D680E" w:rsidRPr="00E07D4D" w:rsidRDefault="00D34634">
      <w:pPr>
        <w:tabs>
          <w:tab w:val="right" w:pos="10199"/>
        </w:tabs>
        <w:spacing w:before="92"/>
        <w:ind w:left="5048"/>
        <w:rPr>
          <w:rFonts w:ascii="Cambria"/>
          <w:sz w:val="19"/>
        </w:rPr>
      </w:pPr>
      <w:r w:rsidRPr="00E07D4D">
        <w:rPr>
          <w:rFonts w:ascii="Calibri"/>
          <w:color w:val="231F20"/>
          <w:w w:val="115"/>
          <w:sz w:val="14"/>
        </w:rPr>
        <w:tab/>
      </w:r>
    </w:p>
    <w:sectPr w:rsidR="007D680E" w:rsidRPr="00E07D4D">
      <w:type w:val="continuous"/>
      <w:pgSz w:w="11340" w:h="15120"/>
      <w:pgMar w:top="660" w:right="460" w:bottom="114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9B28" w14:textId="77777777" w:rsidR="00257356" w:rsidRDefault="00257356">
      <w:r>
        <w:separator/>
      </w:r>
    </w:p>
  </w:endnote>
  <w:endnote w:type="continuationSeparator" w:id="0">
    <w:p w14:paraId="796F88F5" w14:textId="77777777" w:rsidR="00257356" w:rsidRDefault="002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D5C7" w14:textId="5A4A85DC" w:rsidR="007D680E" w:rsidRDefault="00257356">
    <w:pPr>
      <w:pStyle w:val="Textoindependiente"/>
      <w:spacing w:line="14" w:lineRule="auto"/>
    </w:pPr>
    <w:r>
      <w:pict w14:anchorId="2F1FD5CB">
        <v:shapetype id="_x0000_t202" coordsize="21600,21600" o:spt="202" path="m,l,21600r21600,l21600,xe">
          <v:stroke joinstyle="miter"/>
          <v:path gradientshapeok="t" o:connecttype="rect"/>
        </v:shapetype>
        <v:shape id="_x0000_s2050" type="#_x0000_t202" style="position:absolute;margin-left:79.9pt;margin-top:715.85pt;width:396.2pt;height:30.9pt;z-index:-251845632;mso-position-horizontal-relative:page;mso-position-vertical-relative:page" filled="f" stroked="f">
          <v:textbox inset="0,0,0,0">
            <w:txbxContent>
              <w:p w14:paraId="2F1FD5D0" w14:textId="77777777" w:rsidR="007D680E" w:rsidRDefault="00D34634">
                <w:pPr>
                  <w:spacing w:before="13"/>
                  <w:jc w:val="center"/>
                  <w:rPr>
                    <w:rFonts w:ascii="Times New Roman"/>
                    <w:sz w:val="16"/>
                  </w:rPr>
                </w:pPr>
                <w:r>
                  <w:rPr>
                    <w:rFonts w:ascii="Times New Roman"/>
                    <w:sz w:val="16"/>
                  </w:rPr>
                  <w:t>The New England Journal of Medicine</w:t>
                </w:r>
              </w:p>
              <w:p w14:paraId="6B7A0528" w14:textId="77777777" w:rsidR="006E5133" w:rsidRPr="00E07D4D" w:rsidRDefault="006E5133">
                <w:pPr>
                  <w:spacing w:before="16"/>
                  <w:ind w:left="40"/>
                  <w:jc w:val="center"/>
                  <w:rPr>
                    <w:rFonts w:ascii="Times New Roman"/>
                    <w:sz w:val="16"/>
                    <w:lang w:val="es-MX"/>
                  </w:rPr>
                </w:pPr>
                <w:r w:rsidRPr="00E07D4D">
                  <w:rPr>
                    <w:rFonts w:ascii="Times New Roman"/>
                    <w:sz w:val="16"/>
                    <w:lang w:val="es-MX"/>
                  </w:rPr>
                  <w:t>Descargado de nejm.org el 13 de mayo de 2020. Solo para uso personal. No hay otros usos sin permiso.</w:t>
                </w:r>
              </w:p>
              <w:p w14:paraId="2F1FD5D2" w14:textId="12BBEE11" w:rsidR="007D680E" w:rsidRDefault="00D34634">
                <w:pPr>
                  <w:spacing w:before="16"/>
                  <w:ind w:left="40"/>
                  <w:jc w:val="center"/>
                  <w:rPr>
                    <w:rFonts w:ascii="Times New Roman" w:hAnsi="Times New Roman"/>
                    <w:sz w:val="16"/>
                  </w:rPr>
                </w:pPr>
                <w:r>
                  <w:rPr>
                    <w:rFonts w:ascii="Times New Roman" w:hAnsi="Times New Roman"/>
                    <w:sz w:val="16"/>
                  </w:rPr>
                  <w:t xml:space="preserve">Copyright © 2020 Massachusetts Medical Society. </w:t>
                </w:r>
                <w:r w:rsidR="006E5133" w:rsidRPr="006E5133">
                  <w:rPr>
                    <w:rFonts w:ascii="Times New Roman" w:hAnsi="Times New Roman"/>
                    <w:sz w:val="16"/>
                  </w:rPr>
                  <w:t>Todos los derechos reservados</w:t>
                </w:r>
                <w:r>
                  <w:rPr>
                    <w:rFonts w:ascii="Times New Roman" w:hAnsi="Times New Roman"/>
                    <w:sz w:val="16"/>
                  </w:rPr>
                  <w:t>.</w:t>
                </w:r>
              </w:p>
            </w:txbxContent>
          </v:textbox>
          <w10:wrap anchorx="page" anchory="page"/>
        </v:shape>
      </w:pict>
    </w:r>
    <w:r>
      <w:pict w14:anchorId="2F1FD5CA">
        <v:shape id="_x0000_s2051" type="#_x0000_t202" style="position:absolute;margin-left:277.4pt;margin-top:699.95pt;width:104.45pt;height:10.2pt;z-index:-251846656;mso-position-horizontal-relative:page;mso-position-vertical-relative:page" filled="f" stroked="f">
          <v:textbox inset="0,0,0,0">
            <w:txbxContent>
              <w:p w14:paraId="2F1FD5CF" w14:textId="4064C4C9" w:rsidR="007D680E" w:rsidRDefault="006E5133">
                <w:pPr>
                  <w:spacing w:before="12"/>
                  <w:ind w:left="20"/>
                  <w:rPr>
                    <w:rFonts w:ascii="Calibri"/>
                    <w:sz w:val="14"/>
                  </w:rPr>
                </w:pPr>
                <w:r>
                  <w:rPr>
                    <w:rFonts w:ascii="Calibri"/>
                    <w:color w:val="231F20"/>
                    <w:w w:val="120"/>
                    <w:sz w:val="14"/>
                  </w:rPr>
                  <w:t>N ENGL J MED NEJM.ORG</w:t>
                </w:r>
              </w:p>
            </w:txbxContent>
          </v:textbox>
          <w10:wrap anchorx="page" anchory="page"/>
        </v:shape>
      </w:pict>
    </w:r>
    <w:r>
      <w:pict w14:anchorId="2F1FD5C9">
        <v:shape id="_x0000_s2052" type="#_x0000_t202" style="position:absolute;margin-left:530.2pt;margin-top:697.7pt;width:6.8pt;height:13.1pt;z-index:-251847680;mso-position-horizontal-relative:page;mso-position-vertical-relative:page" filled="f" stroked="f">
          <v:textbox inset="0,0,0,0">
            <w:txbxContent>
              <w:p w14:paraId="2F1FD5CE" w14:textId="4179DB92" w:rsidR="007D680E" w:rsidRDefault="006E5133">
                <w:pPr>
                  <w:spacing w:before="11"/>
                  <w:ind w:left="20"/>
                  <w:rPr>
                    <w:rFonts w:ascii="Cambria"/>
                    <w:sz w:val="19"/>
                  </w:rPr>
                </w:pPr>
                <w:r w:rsidRPr="006E5133">
                  <w:rPr>
                    <w:rFonts w:ascii="Cambria"/>
                    <w:sz w:val="19"/>
                  </w:rPr>
                  <w:fldChar w:fldCharType="begin"/>
                </w:r>
                <w:r w:rsidRPr="006E5133">
                  <w:rPr>
                    <w:rFonts w:ascii="Cambria"/>
                    <w:sz w:val="19"/>
                  </w:rPr>
                  <w:instrText>PAGE   \* MERGEFORMAT</w:instrText>
                </w:r>
                <w:r w:rsidRPr="006E5133">
                  <w:rPr>
                    <w:rFonts w:ascii="Cambria"/>
                    <w:sz w:val="19"/>
                  </w:rPr>
                  <w:fldChar w:fldCharType="separate"/>
                </w:r>
                <w:r w:rsidR="005D4215" w:rsidRPr="005D4215">
                  <w:rPr>
                    <w:rFonts w:ascii="Cambria"/>
                    <w:noProof/>
                    <w:sz w:val="19"/>
                    <w:lang w:val="es-ES"/>
                  </w:rPr>
                  <w:t>3</w:t>
                </w:r>
                <w:r w:rsidRPr="006E5133">
                  <w:rPr>
                    <w:rFonts w:ascii="Cambria"/>
                    <w:sz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8FE3" w14:textId="77777777" w:rsidR="00257356" w:rsidRDefault="00257356">
      <w:r>
        <w:separator/>
      </w:r>
    </w:p>
  </w:footnote>
  <w:footnote w:type="continuationSeparator" w:id="0">
    <w:p w14:paraId="5E645C45" w14:textId="77777777" w:rsidR="00257356" w:rsidRDefault="0025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61C86"/>
    <w:multiLevelType w:val="hybridMultilevel"/>
    <w:tmpl w:val="DF9016D2"/>
    <w:lvl w:ilvl="0" w:tplc="F38AAC90">
      <w:start w:val="1"/>
      <w:numFmt w:val="decimal"/>
      <w:lvlText w:val="%1."/>
      <w:lvlJc w:val="left"/>
      <w:pPr>
        <w:ind w:left="199" w:hanging="240"/>
      </w:pPr>
      <w:rPr>
        <w:rFonts w:ascii="Calibri" w:eastAsia="Calibri" w:hAnsi="Calibri" w:cs="Calibri" w:hint="default"/>
        <w:b/>
        <w:bCs/>
        <w:color w:val="231F20"/>
        <w:spacing w:val="0"/>
        <w:w w:val="97"/>
        <w:sz w:val="14"/>
        <w:szCs w:val="14"/>
        <w:lang w:val="en-US" w:eastAsia="en-US" w:bidi="en-US"/>
      </w:rPr>
    </w:lvl>
    <w:lvl w:ilvl="1" w:tplc="980C9C50">
      <w:numFmt w:val="bullet"/>
      <w:lvlText w:val="•"/>
      <w:lvlJc w:val="left"/>
      <w:pPr>
        <w:ind w:left="489" w:hanging="240"/>
      </w:pPr>
      <w:rPr>
        <w:rFonts w:hint="default"/>
        <w:lang w:val="en-US" w:eastAsia="en-US" w:bidi="en-US"/>
      </w:rPr>
    </w:lvl>
    <w:lvl w:ilvl="2" w:tplc="2AD81EFE">
      <w:numFmt w:val="bullet"/>
      <w:lvlText w:val="•"/>
      <w:lvlJc w:val="left"/>
      <w:pPr>
        <w:ind w:left="779" w:hanging="240"/>
      </w:pPr>
      <w:rPr>
        <w:rFonts w:hint="default"/>
        <w:lang w:val="en-US" w:eastAsia="en-US" w:bidi="en-US"/>
      </w:rPr>
    </w:lvl>
    <w:lvl w:ilvl="3" w:tplc="540A6938">
      <w:numFmt w:val="bullet"/>
      <w:lvlText w:val="•"/>
      <w:lvlJc w:val="left"/>
      <w:pPr>
        <w:ind w:left="1068" w:hanging="240"/>
      </w:pPr>
      <w:rPr>
        <w:rFonts w:hint="default"/>
        <w:lang w:val="en-US" w:eastAsia="en-US" w:bidi="en-US"/>
      </w:rPr>
    </w:lvl>
    <w:lvl w:ilvl="4" w:tplc="F2902698">
      <w:numFmt w:val="bullet"/>
      <w:lvlText w:val="•"/>
      <w:lvlJc w:val="left"/>
      <w:pPr>
        <w:ind w:left="1357" w:hanging="240"/>
      </w:pPr>
      <w:rPr>
        <w:rFonts w:hint="default"/>
        <w:lang w:val="en-US" w:eastAsia="en-US" w:bidi="en-US"/>
      </w:rPr>
    </w:lvl>
    <w:lvl w:ilvl="5" w:tplc="F9E0B100">
      <w:numFmt w:val="bullet"/>
      <w:lvlText w:val="•"/>
      <w:lvlJc w:val="left"/>
      <w:pPr>
        <w:ind w:left="1647" w:hanging="240"/>
      </w:pPr>
      <w:rPr>
        <w:rFonts w:hint="default"/>
        <w:lang w:val="en-US" w:eastAsia="en-US" w:bidi="en-US"/>
      </w:rPr>
    </w:lvl>
    <w:lvl w:ilvl="6" w:tplc="E5B610F2">
      <w:numFmt w:val="bullet"/>
      <w:lvlText w:val="•"/>
      <w:lvlJc w:val="left"/>
      <w:pPr>
        <w:ind w:left="1936" w:hanging="240"/>
      </w:pPr>
      <w:rPr>
        <w:rFonts w:hint="default"/>
        <w:lang w:val="en-US" w:eastAsia="en-US" w:bidi="en-US"/>
      </w:rPr>
    </w:lvl>
    <w:lvl w:ilvl="7" w:tplc="8BB8B5A8">
      <w:numFmt w:val="bullet"/>
      <w:lvlText w:val="•"/>
      <w:lvlJc w:val="left"/>
      <w:pPr>
        <w:ind w:left="2226" w:hanging="240"/>
      </w:pPr>
      <w:rPr>
        <w:rFonts w:hint="default"/>
        <w:lang w:val="en-US" w:eastAsia="en-US" w:bidi="en-US"/>
      </w:rPr>
    </w:lvl>
    <w:lvl w:ilvl="8" w:tplc="72B4D840">
      <w:numFmt w:val="bullet"/>
      <w:lvlText w:val="•"/>
      <w:lvlJc w:val="left"/>
      <w:pPr>
        <w:ind w:left="2515"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D680E"/>
    <w:rsid w:val="00044F08"/>
    <w:rsid w:val="00093E12"/>
    <w:rsid w:val="00257356"/>
    <w:rsid w:val="002B4214"/>
    <w:rsid w:val="003D3488"/>
    <w:rsid w:val="003F3A1A"/>
    <w:rsid w:val="00413D89"/>
    <w:rsid w:val="005D4215"/>
    <w:rsid w:val="00682B4B"/>
    <w:rsid w:val="006E5133"/>
    <w:rsid w:val="00702E27"/>
    <w:rsid w:val="007D680E"/>
    <w:rsid w:val="0088671E"/>
    <w:rsid w:val="0091631B"/>
    <w:rsid w:val="009376DE"/>
    <w:rsid w:val="00A07B1A"/>
    <w:rsid w:val="00B02338"/>
    <w:rsid w:val="00C64096"/>
    <w:rsid w:val="00CB7682"/>
    <w:rsid w:val="00D34634"/>
    <w:rsid w:val="00D60829"/>
    <w:rsid w:val="00D8148E"/>
    <w:rsid w:val="00D969CE"/>
    <w:rsid w:val="00E07D4D"/>
    <w:rsid w:val="00E93DEC"/>
    <w:rsid w:val="00EF7976"/>
    <w:rsid w:val="00FA55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1FD553"/>
  <w15:docId w15:val="{EC032943-EDC4-4B2A-9869-6DEBC9E6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lang w:bidi="en-US"/>
    </w:rPr>
  </w:style>
  <w:style w:type="paragraph" w:styleId="Ttulo1">
    <w:name w:val="heading 1"/>
    <w:basedOn w:val="Normal"/>
    <w:uiPriority w:val="9"/>
    <w:qFormat/>
    <w:pPr>
      <w:ind w:left="1514"/>
      <w:jc w:val="both"/>
      <w:outlineLvl w:val="0"/>
    </w:pPr>
    <w:rPr>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99" w:right="15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69CE"/>
    <w:pPr>
      <w:tabs>
        <w:tab w:val="center" w:pos="4252"/>
        <w:tab w:val="right" w:pos="8504"/>
      </w:tabs>
    </w:pPr>
  </w:style>
  <w:style w:type="character" w:customStyle="1" w:styleId="EncabezadoCar">
    <w:name w:val="Encabezado Car"/>
    <w:basedOn w:val="Fuentedeprrafopredeter"/>
    <w:link w:val="Encabezado"/>
    <w:uiPriority w:val="99"/>
    <w:rsid w:val="00D969CE"/>
    <w:rPr>
      <w:rFonts w:ascii="Book Antiqua" w:eastAsia="Book Antiqua" w:hAnsi="Book Antiqua" w:cs="Book Antiqua"/>
      <w:lang w:bidi="en-US"/>
    </w:rPr>
  </w:style>
  <w:style w:type="paragraph" w:styleId="Piedepgina">
    <w:name w:val="footer"/>
    <w:basedOn w:val="Normal"/>
    <w:link w:val="PiedepginaCar"/>
    <w:uiPriority w:val="99"/>
    <w:unhideWhenUsed/>
    <w:rsid w:val="00D969CE"/>
    <w:pPr>
      <w:tabs>
        <w:tab w:val="center" w:pos="4252"/>
        <w:tab w:val="right" w:pos="8504"/>
      </w:tabs>
    </w:pPr>
  </w:style>
  <w:style w:type="character" w:customStyle="1" w:styleId="PiedepginaCar">
    <w:name w:val="Pie de página Car"/>
    <w:basedOn w:val="Fuentedeprrafopredeter"/>
    <w:link w:val="Piedepgina"/>
    <w:uiPriority w:val="99"/>
    <w:rsid w:val="00D969CE"/>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1782</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Drug Evaluation during the Covid-19 Pandemic</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Evaluation during the Covid-19 Pandemic</dc:title>
  <dc:subject>N Engl J Med 0.0:null-null</dc:subject>
  <dc:creator>Benjamin N. Rome, Jerry Avorn</dc:creator>
  <cp:lastModifiedBy>Sergio Quevedo</cp:lastModifiedBy>
  <cp:revision>15</cp:revision>
  <dcterms:created xsi:type="dcterms:W3CDTF">2020-05-31T23:32:00Z</dcterms:created>
  <dcterms:modified xsi:type="dcterms:W3CDTF">2020-06-19T12:27:00Z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Adobe InDesign 14.0 (Macintosh)</vt:lpwstr>
  </property>
  <property fmtid="{D5CDD505-2E9C-101B-9397-08002B2CF9AE}" pid="4" name="LastSaved">
    <vt:filetime>2020-05-31T00:00:00Z</vt:filetime>
  </property>
</Properties>
</file>